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D8" w:rsidRDefault="00004F7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2020年永春县地方政府债务情况</w:t>
      </w:r>
    </w:p>
    <w:p w:rsidR="001922D8" w:rsidRDefault="001922D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1922D8" w:rsidRDefault="00004F7E">
      <w:pPr>
        <w:pStyle w:val="a5"/>
        <w:spacing w:line="580" w:lineRule="exact"/>
        <w:ind w:firstLine="592"/>
        <w:rPr>
          <w:rFonts w:ascii="黑体" w:eastAsia="黑体" w:hAnsi="黑体" w:cs="仿宋"/>
          <w:spacing w:val="-6"/>
        </w:rPr>
      </w:pPr>
      <w:r>
        <w:rPr>
          <w:rFonts w:ascii="黑体" w:eastAsia="黑体" w:hAnsi="黑体" w:cs="仿宋" w:hint="eastAsia"/>
          <w:spacing w:val="-6"/>
        </w:rPr>
        <w:t>一、举借政府债务及债券资金使用安排情况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2020年全县新增债务限额5.8897亿元，其中：</w:t>
      </w:r>
      <w:bookmarkStart w:id="0" w:name="_GoBack"/>
      <w:bookmarkEnd w:id="0"/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（一）新增地方政府一般债券1.0497亿元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1、安排用于城乡基础设施建设（乡村振兴）0.8亿元，其中：留安山东路道路工程0.7亿元；北环路东延伸段及东山支路工程0.1亿元。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2、安排用于教育基础设施建设0.0997亿元，其中：五里街中心小学教学楼0.07亿元；汤城中学学生宿舍楼0.02亿元；呈祥中学综合楼0.0097亿元。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3、安排用于灾害防治及应急管理0.15亿元，其中：消防大队添置消防车0.15亿元。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（二）新增地方政府专项债券4.84亿元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1、安排用于兴泉铁路（永泉段）永春段项目建设1.5亿元。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2、安排用于兴泉铁路永春站站前广场建设1.2亿元。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3、安排用于榜头小区建设1.84亿元。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4、安排用于轻工新城智慧产业园基础设施工程0.3亿元。</w:t>
      </w:r>
    </w:p>
    <w:p w:rsidR="001922D8" w:rsidRDefault="00004F7E">
      <w:pPr>
        <w:pStyle w:val="a5"/>
        <w:spacing w:line="580" w:lineRule="exact"/>
        <w:ind w:firstLine="592"/>
        <w:rPr>
          <w:rFonts w:ascii="黑体" w:eastAsia="黑体" w:hAnsi="黑体" w:cs="仿宋"/>
          <w:spacing w:val="-6"/>
        </w:rPr>
      </w:pPr>
      <w:r>
        <w:rPr>
          <w:rFonts w:ascii="黑体" w:eastAsia="黑体" w:hAnsi="黑体" w:cs="仿宋" w:hint="eastAsia"/>
          <w:spacing w:val="-6"/>
        </w:rPr>
        <w:t>二、地方政府债务限额余额情况</w:t>
      </w:r>
    </w:p>
    <w:p w:rsidR="001922D8" w:rsidRDefault="00004F7E">
      <w:pPr>
        <w:pStyle w:val="a5"/>
        <w:spacing w:line="580" w:lineRule="exact"/>
        <w:ind w:firstLine="592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截至2020年底，全县政府债务余额502442亿元，债务余额严格控制在省财政核定的限额53.8813亿元内（所属地区地方政府债务限额及余额详见附表）。</w:t>
      </w:r>
    </w:p>
    <w:p w:rsidR="001922D8" w:rsidRDefault="00004F7E">
      <w:pPr>
        <w:pStyle w:val="a5"/>
        <w:spacing w:line="580" w:lineRule="exact"/>
        <w:ind w:firstLine="592"/>
        <w:rPr>
          <w:rFonts w:ascii="黑体" w:eastAsia="黑体" w:hAnsi="黑体" w:cs="仿宋"/>
          <w:spacing w:val="-6"/>
        </w:rPr>
      </w:pPr>
      <w:r>
        <w:rPr>
          <w:rFonts w:ascii="黑体" w:eastAsia="黑体" w:hAnsi="黑体" w:cs="仿宋" w:hint="eastAsia"/>
          <w:spacing w:val="-6"/>
        </w:rPr>
        <w:t>三、地方政府债券发行情况</w:t>
      </w:r>
    </w:p>
    <w:p w:rsidR="001922D8" w:rsidRDefault="00004F7E">
      <w:pPr>
        <w:pStyle w:val="a5"/>
        <w:spacing w:line="580" w:lineRule="exact"/>
        <w:ind w:firstLineChars="200" w:firstLine="616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lastRenderedPageBreak/>
        <w:t xml:space="preserve">2020年全县由省级代为发行地方政府债券12.4164亿元。 </w:t>
      </w:r>
    </w:p>
    <w:p w:rsidR="001922D8" w:rsidRDefault="00004F7E">
      <w:pPr>
        <w:pStyle w:val="a5"/>
        <w:spacing w:line="580" w:lineRule="exact"/>
        <w:ind w:firstLineChars="200" w:firstLine="616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按债券性质分：由省级代为发行新增债券5.8897亿元，由省级代为发行再融资债券6.5267亿元。</w:t>
      </w:r>
    </w:p>
    <w:p w:rsidR="001922D8" w:rsidRDefault="00004F7E">
      <w:pPr>
        <w:pStyle w:val="a5"/>
        <w:spacing w:line="580" w:lineRule="exact"/>
        <w:ind w:firstLineChars="200" w:firstLine="616"/>
        <w:rPr>
          <w:rFonts w:ascii="黑体" w:eastAsia="黑体" w:hAnsi="黑体" w:cs="仿宋"/>
          <w:spacing w:val="-6"/>
        </w:rPr>
      </w:pPr>
      <w:r>
        <w:rPr>
          <w:rFonts w:ascii="黑体" w:eastAsia="黑体" w:hAnsi="黑体" w:cs="仿宋" w:hint="eastAsia"/>
          <w:spacing w:val="-6"/>
        </w:rPr>
        <w:t>四、地方政府债券还本付息情况</w:t>
      </w:r>
    </w:p>
    <w:p w:rsidR="001922D8" w:rsidRDefault="00004F7E">
      <w:pPr>
        <w:pStyle w:val="a5"/>
        <w:spacing w:line="580" w:lineRule="exact"/>
        <w:rPr>
          <w:rFonts w:ascii="仿宋" w:eastAsia="仿宋" w:hAnsi="仿宋" w:cs="仿宋"/>
          <w:spacing w:val="-6"/>
        </w:rPr>
      </w:pPr>
      <w:r>
        <w:rPr>
          <w:rFonts w:ascii="仿宋" w:eastAsia="仿宋" w:hAnsi="仿宋" w:cs="仿宋" w:hint="eastAsia"/>
          <w:spacing w:val="-6"/>
        </w:rPr>
        <w:t>20</w:t>
      </w:r>
      <w:r w:rsidR="0034486B">
        <w:rPr>
          <w:rFonts w:ascii="仿宋" w:eastAsia="仿宋" w:hAnsi="仿宋" w:cs="仿宋" w:hint="eastAsia"/>
          <w:spacing w:val="-6"/>
        </w:rPr>
        <w:t>20</w:t>
      </w:r>
      <w:r>
        <w:rPr>
          <w:rFonts w:ascii="仿宋" w:eastAsia="仿宋" w:hAnsi="仿宋" w:cs="仿宋" w:hint="eastAsia"/>
          <w:spacing w:val="-6"/>
        </w:rPr>
        <w:t xml:space="preserve">年全县地方政府债券还本付息11.0817亿元。 </w:t>
      </w:r>
    </w:p>
    <w:p w:rsidR="001922D8" w:rsidRDefault="001922D8"/>
    <w:sectPr w:rsidR="001922D8" w:rsidSect="0019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C3" w:rsidRDefault="005801C3" w:rsidP="00D45C11">
      <w:r>
        <w:separator/>
      </w:r>
    </w:p>
  </w:endnote>
  <w:endnote w:type="continuationSeparator" w:id="1">
    <w:p w:rsidR="005801C3" w:rsidRDefault="005801C3" w:rsidP="00D45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C3" w:rsidRDefault="005801C3" w:rsidP="00D45C11">
      <w:r>
        <w:separator/>
      </w:r>
    </w:p>
  </w:footnote>
  <w:footnote w:type="continuationSeparator" w:id="1">
    <w:p w:rsidR="005801C3" w:rsidRDefault="005801C3" w:rsidP="00D45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80C"/>
    <w:rsid w:val="00004F7E"/>
    <w:rsid w:val="0003080C"/>
    <w:rsid w:val="00144DAA"/>
    <w:rsid w:val="001922D8"/>
    <w:rsid w:val="0034486B"/>
    <w:rsid w:val="00434277"/>
    <w:rsid w:val="005801C3"/>
    <w:rsid w:val="007225BE"/>
    <w:rsid w:val="00760F51"/>
    <w:rsid w:val="00967185"/>
    <w:rsid w:val="00D45C11"/>
    <w:rsid w:val="00D83C78"/>
    <w:rsid w:val="0FDD2775"/>
    <w:rsid w:val="116B6758"/>
    <w:rsid w:val="341B7F1E"/>
    <w:rsid w:val="36647865"/>
    <w:rsid w:val="44EF5AFA"/>
    <w:rsid w:val="48FB3852"/>
    <w:rsid w:val="50305823"/>
    <w:rsid w:val="57A660E3"/>
    <w:rsid w:val="6BCE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D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92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922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922D8"/>
    <w:rPr>
      <w:sz w:val="18"/>
      <w:szCs w:val="18"/>
    </w:rPr>
  </w:style>
  <w:style w:type="paragraph" w:customStyle="1" w:styleId="a5">
    <w:name w:val="内容"/>
    <w:basedOn w:val="a"/>
    <w:qFormat/>
    <w:rsid w:val="001922D8"/>
    <w:pPr>
      <w:snapToGrid w:val="0"/>
      <w:spacing w:line="640" w:lineRule="exact"/>
      <w:ind w:firstLine="640"/>
    </w:pPr>
    <w:rPr>
      <w:rFonts w:hAnsi="楷体"/>
      <w:snapToGrid w:val="0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张鎣</dc:creator>
  <cp:lastModifiedBy>HP</cp:lastModifiedBy>
  <cp:revision>3</cp:revision>
  <cp:lastPrinted>2021-05-31T07:59:00Z</cp:lastPrinted>
  <dcterms:created xsi:type="dcterms:W3CDTF">2021-07-16T07:58:00Z</dcterms:created>
  <dcterms:modified xsi:type="dcterms:W3CDTF">2021-07-23T08:55:00Z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