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3C881C" w14:textId="77777777" w:rsidR="00AE54E5" w:rsidRDefault="00AE54E5" w:rsidP="00AE54E5">
      <w:pPr>
        <w:widowControl/>
        <w:spacing w:line="360" w:lineRule="auto"/>
        <w:jc w:val="center"/>
        <w:rPr>
          <w:rFonts w:ascii="Times New Roman" w:eastAsia="黑体" w:hAnsi="Times New Roman" w:cs="Times New Roman"/>
          <w:b/>
          <w:bCs/>
          <w:color w:val="000000"/>
          <w:kern w:val="0"/>
          <w:sz w:val="52"/>
          <w:szCs w:val="52"/>
        </w:rPr>
      </w:pPr>
      <w:proofErr w:type="gramStart"/>
      <w:r w:rsidRPr="00AE54E5">
        <w:rPr>
          <w:rFonts w:ascii="Times New Roman" w:eastAsia="黑体" w:hAnsi="Times New Roman" w:cs="Times New Roman" w:hint="eastAsia"/>
          <w:b/>
          <w:bCs/>
          <w:color w:val="000000"/>
          <w:kern w:val="0"/>
          <w:sz w:val="52"/>
          <w:szCs w:val="52"/>
        </w:rPr>
        <w:t>永春县蓬壶</w:t>
      </w:r>
      <w:proofErr w:type="gramEnd"/>
      <w:r w:rsidRPr="00AE54E5">
        <w:rPr>
          <w:rFonts w:ascii="Times New Roman" w:eastAsia="黑体" w:hAnsi="Times New Roman" w:cs="Times New Roman" w:hint="eastAsia"/>
          <w:b/>
          <w:bCs/>
          <w:color w:val="000000"/>
          <w:kern w:val="0"/>
          <w:sz w:val="52"/>
          <w:szCs w:val="52"/>
        </w:rPr>
        <w:t>工业园区土地征收</w:t>
      </w:r>
    </w:p>
    <w:p w14:paraId="2D88EF28" w14:textId="65E63999" w:rsidR="00AE54E5" w:rsidRDefault="00AE54E5" w:rsidP="00AE54E5">
      <w:pPr>
        <w:widowControl/>
        <w:spacing w:line="360" w:lineRule="auto"/>
        <w:jc w:val="center"/>
        <w:rPr>
          <w:rFonts w:ascii="Times New Roman" w:eastAsia="黑体" w:hAnsi="Times New Roman" w:cs="Times New Roman"/>
          <w:b/>
          <w:bCs/>
          <w:color w:val="000000"/>
          <w:kern w:val="0"/>
          <w:sz w:val="52"/>
          <w:szCs w:val="52"/>
        </w:rPr>
      </w:pPr>
      <w:r w:rsidRPr="00AE54E5">
        <w:rPr>
          <w:rFonts w:ascii="Times New Roman" w:eastAsia="黑体" w:hAnsi="Times New Roman" w:cs="Times New Roman" w:hint="eastAsia"/>
          <w:b/>
          <w:bCs/>
          <w:color w:val="000000"/>
          <w:kern w:val="0"/>
          <w:sz w:val="52"/>
          <w:szCs w:val="52"/>
        </w:rPr>
        <w:t>成片开发方案</w:t>
      </w:r>
      <w:bookmarkStart w:id="0" w:name="_GoBack"/>
      <w:bookmarkEnd w:id="0"/>
    </w:p>
    <w:p w14:paraId="09820140" w14:textId="744F9EB8" w:rsidR="001C205A" w:rsidRPr="00116AF4" w:rsidRDefault="001C205A" w:rsidP="00245CB7">
      <w:pPr>
        <w:widowControl/>
        <w:spacing w:line="360" w:lineRule="auto"/>
        <w:jc w:val="center"/>
        <w:rPr>
          <w:rFonts w:ascii="Times New Roman" w:eastAsia="黑体" w:hAnsi="Times New Roman" w:cs="Times New Roman"/>
          <w:b/>
          <w:bCs/>
          <w:color w:val="000000"/>
          <w:kern w:val="0"/>
          <w:sz w:val="52"/>
          <w:szCs w:val="52"/>
        </w:rPr>
      </w:pPr>
      <w:r w:rsidRPr="00116AF4">
        <w:rPr>
          <w:rFonts w:ascii="Times New Roman" w:eastAsia="黑体" w:hAnsi="Times New Roman" w:cs="Times New Roman"/>
          <w:b/>
          <w:bCs/>
          <w:color w:val="000000"/>
          <w:kern w:val="0"/>
          <w:sz w:val="52"/>
          <w:szCs w:val="52"/>
        </w:rPr>
        <w:t>（征求意见稿）</w:t>
      </w:r>
    </w:p>
    <w:p w14:paraId="5B76BAE8" w14:textId="5F271951" w:rsidR="00E70AD3"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一、</w:t>
      </w:r>
      <w:r w:rsidR="001C205A" w:rsidRPr="00B0644D">
        <w:rPr>
          <w:rFonts w:ascii="黑体" w:eastAsia="黑体" w:hAnsi="黑体" w:cs="Times New Roman"/>
          <w:sz w:val="28"/>
          <w:szCs w:val="28"/>
        </w:rPr>
        <w:t>编制依据</w:t>
      </w:r>
    </w:p>
    <w:p w14:paraId="74ED3B22" w14:textId="7DA23704" w:rsidR="001C205A" w:rsidRPr="00B0644D" w:rsidRDefault="001C205A" w:rsidP="00590BC2">
      <w:pPr>
        <w:topLinePunct/>
        <w:ind w:firstLineChars="200" w:firstLine="560"/>
        <w:rPr>
          <w:rFonts w:ascii="宋体" w:eastAsia="宋体" w:hAnsi="宋体" w:cs="Times New Roman"/>
          <w:sz w:val="28"/>
          <w:szCs w:val="28"/>
        </w:rPr>
      </w:pPr>
      <w:r w:rsidRPr="00B0644D">
        <w:rPr>
          <w:rFonts w:ascii="宋体" w:eastAsia="宋体" w:hAnsi="宋体" w:cs="Times New Roman"/>
          <w:sz w:val="28"/>
          <w:szCs w:val="28"/>
        </w:rPr>
        <w:t>依据《中华人民共和国土地管理法》（2019年</w:t>
      </w:r>
      <w:r w:rsidR="00B0644D" w:rsidRPr="00B0644D">
        <w:rPr>
          <w:rFonts w:ascii="宋体" w:eastAsia="宋体" w:hAnsi="宋体" w:cs="Times New Roman"/>
          <w:sz w:val="28"/>
          <w:szCs w:val="28"/>
        </w:rPr>
        <w:t>修</w:t>
      </w:r>
      <w:r w:rsidR="00B0644D" w:rsidRPr="00B0644D">
        <w:rPr>
          <w:rFonts w:ascii="宋体" w:eastAsia="宋体" w:hAnsi="宋体" w:cs="Times New Roman" w:hint="eastAsia"/>
          <w:sz w:val="28"/>
          <w:szCs w:val="28"/>
        </w:rPr>
        <w:t>订</w:t>
      </w:r>
      <w:r w:rsidR="00B0644D" w:rsidRPr="00B0644D">
        <w:rPr>
          <w:rFonts w:ascii="宋体" w:eastAsia="宋体" w:hAnsi="宋体" w:cs="Times New Roman"/>
          <w:sz w:val="28"/>
          <w:szCs w:val="28"/>
        </w:rPr>
        <w:t>版</w:t>
      </w:r>
      <w:r w:rsidRPr="00B0644D">
        <w:rPr>
          <w:rFonts w:ascii="宋体" w:eastAsia="宋体" w:hAnsi="宋体" w:cs="Times New Roman"/>
          <w:sz w:val="28"/>
          <w:szCs w:val="28"/>
        </w:rPr>
        <w:t>）、</w:t>
      </w:r>
      <w:r w:rsidR="00B0644D" w:rsidRPr="00B0644D">
        <w:rPr>
          <w:rFonts w:ascii="宋体" w:eastAsia="宋体" w:hAnsi="宋体" w:cs="Times New Roman"/>
          <w:sz w:val="28"/>
          <w:szCs w:val="28"/>
        </w:rPr>
        <w:t>《</w:t>
      </w:r>
      <w:r w:rsidR="00B0644D" w:rsidRPr="00B0644D">
        <w:rPr>
          <w:rFonts w:ascii="宋体" w:eastAsia="宋体" w:hAnsi="宋体" w:cs="Times New Roman" w:hint="eastAsia"/>
          <w:sz w:val="28"/>
          <w:szCs w:val="28"/>
        </w:rPr>
        <w:t>中华人民共和国城乡规划法</w:t>
      </w:r>
      <w:r w:rsidR="00B0644D" w:rsidRPr="00B0644D">
        <w:rPr>
          <w:rFonts w:ascii="宋体" w:eastAsia="宋体" w:hAnsi="宋体" w:cs="Times New Roman"/>
          <w:sz w:val="28"/>
          <w:szCs w:val="28"/>
        </w:rPr>
        <w:t>》（2019年修</w:t>
      </w:r>
      <w:r w:rsidR="00B0644D" w:rsidRPr="00B0644D">
        <w:rPr>
          <w:rFonts w:ascii="宋体" w:eastAsia="宋体" w:hAnsi="宋体" w:cs="Times New Roman" w:hint="eastAsia"/>
          <w:sz w:val="28"/>
          <w:szCs w:val="28"/>
        </w:rPr>
        <w:t>订</w:t>
      </w:r>
      <w:r w:rsidR="00B0644D" w:rsidRPr="00B0644D">
        <w:rPr>
          <w:rFonts w:ascii="宋体" w:eastAsia="宋体" w:hAnsi="宋体" w:cs="Times New Roman"/>
          <w:sz w:val="28"/>
          <w:szCs w:val="28"/>
        </w:rPr>
        <w:t>版）</w:t>
      </w:r>
      <w:r w:rsidR="00B0644D" w:rsidRPr="00B0644D">
        <w:rPr>
          <w:rFonts w:ascii="宋体" w:eastAsia="宋体" w:hAnsi="宋体" w:cs="Times New Roman" w:hint="eastAsia"/>
          <w:sz w:val="28"/>
          <w:szCs w:val="28"/>
        </w:rPr>
        <w:t>、</w:t>
      </w:r>
      <w:r w:rsidRPr="00B0644D">
        <w:rPr>
          <w:rFonts w:ascii="宋体" w:eastAsia="宋体" w:hAnsi="宋体" w:cs="Times New Roman"/>
          <w:sz w:val="28"/>
          <w:szCs w:val="28"/>
        </w:rPr>
        <w:t>《自然资源部关于印发&lt;土地征收成片开发标准（试行）&gt;的通知》（自然资</w:t>
      </w:r>
      <w:proofErr w:type="gramStart"/>
      <w:r w:rsidRPr="00B0644D">
        <w:rPr>
          <w:rFonts w:ascii="宋体" w:eastAsia="宋体" w:hAnsi="宋体" w:cs="Times New Roman"/>
          <w:sz w:val="28"/>
          <w:szCs w:val="28"/>
        </w:rPr>
        <w:t>规</w:t>
      </w:r>
      <w:proofErr w:type="gramEnd"/>
      <w:r w:rsidRPr="00B0644D">
        <w:rPr>
          <w:rFonts w:ascii="宋体" w:eastAsia="宋体" w:hAnsi="宋体" w:cs="Times New Roman"/>
          <w:sz w:val="28"/>
          <w:szCs w:val="28"/>
        </w:rPr>
        <w:t>〔2020〕5号）、《福建省自然资源厅关于印发&lt;福建省土地征收成片开发方案报批实施细则（试行）的通知&gt;》（</w:t>
      </w:r>
      <w:proofErr w:type="gramStart"/>
      <w:r w:rsidRPr="00B0644D">
        <w:rPr>
          <w:rFonts w:ascii="宋体" w:eastAsia="宋体" w:hAnsi="宋体" w:cs="Times New Roman"/>
          <w:sz w:val="28"/>
          <w:szCs w:val="28"/>
        </w:rPr>
        <w:t>闽自然资发</w:t>
      </w:r>
      <w:proofErr w:type="gramEnd"/>
      <w:r w:rsidRPr="00B0644D">
        <w:rPr>
          <w:rFonts w:ascii="宋体" w:eastAsia="宋体" w:hAnsi="宋体" w:cs="Times New Roman"/>
          <w:sz w:val="28"/>
          <w:szCs w:val="28"/>
        </w:rPr>
        <w:t>〔2021〕3号）、《福建省自然资源厅关于印发&lt;福建省土地征收成片开发方案编制参考指南（试行）的通知&gt;》（</w:t>
      </w:r>
      <w:proofErr w:type="gramStart"/>
      <w:r w:rsidRPr="00B0644D">
        <w:rPr>
          <w:rFonts w:ascii="宋体" w:eastAsia="宋体" w:hAnsi="宋体" w:cs="Times New Roman"/>
          <w:sz w:val="28"/>
          <w:szCs w:val="28"/>
        </w:rPr>
        <w:t>闽自然资发</w:t>
      </w:r>
      <w:proofErr w:type="gramEnd"/>
      <w:r w:rsidRPr="00B0644D">
        <w:rPr>
          <w:rFonts w:ascii="宋体" w:eastAsia="宋体" w:hAnsi="宋体" w:cs="Times New Roman"/>
          <w:sz w:val="28"/>
          <w:szCs w:val="28"/>
        </w:rPr>
        <w:t>〔2021〕6号）、《自然资源部办公厅关于印发&lt;国土空间调查、规划、用途管制用地用海分类指南（试行）&gt;》（自然资办发〔2020〕51号）、</w:t>
      </w:r>
      <w:r w:rsidR="00875730" w:rsidRPr="00B0644D">
        <w:rPr>
          <w:rFonts w:ascii="宋体" w:eastAsia="宋体" w:hAnsi="宋体" w:cs="Times New Roman"/>
          <w:sz w:val="28"/>
          <w:szCs w:val="28"/>
        </w:rPr>
        <w:t>《永春县</w:t>
      </w:r>
      <w:r w:rsidR="00EC7C72" w:rsidRPr="00B0644D">
        <w:rPr>
          <w:rFonts w:ascii="宋体" w:eastAsia="宋体" w:hAnsi="宋体" w:cs="Times New Roman" w:hint="eastAsia"/>
          <w:sz w:val="28"/>
          <w:szCs w:val="28"/>
        </w:rPr>
        <w:t>蓬壶</w:t>
      </w:r>
      <w:r w:rsidR="00E833CE" w:rsidRPr="00B0644D">
        <w:rPr>
          <w:rFonts w:ascii="宋体" w:eastAsia="宋体" w:hAnsi="宋体" w:cs="Times New Roman" w:hint="eastAsia"/>
          <w:sz w:val="28"/>
          <w:szCs w:val="28"/>
        </w:rPr>
        <w:t>镇</w:t>
      </w:r>
      <w:r w:rsidR="00875730" w:rsidRPr="00B0644D">
        <w:rPr>
          <w:rFonts w:ascii="宋体" w:eastAsia="宋体" w:hAnsi="宋体" w:cs="Times New Roman"/>
          <w:sz w:val="28"/>
          <w:szCs w:val="28"/>
        </w:rPr>
        <w:t>总体规划</w:t>
      </w:r>
      <w:r w:rsidR="00EC7C72" w:rsidRPr="00B0644D">
        <w:rPr>
          <w:rFonts w:ascii="宋体" w:eastAsia="宋体" w:hAnsi="宋体" w:cs="Times New Roman" w:hint="eastAsia"/>
          <w:sz w:val="28"/>
          <w:szCs w:val="28"/>
        </w:rPr>
        <w:t>修编</w:t>
      </w:r>
      <w:r w:rsidR="00875730" w:rsidRPr="00B0644D">
        <w:rPr>
          <w:rFonts w:ascii="宋体" w:eastAsia="宋体" w:hAnsi="宋体" w:cs="Times New Roman"/>
          <w:sz w:val="28"/>
          <w:szCs w:val="28"/>
        </w:rPr>
        <w:t>（20</w:t>
      </w:r>
      <w:r w:rsidR="00EC7C72" w:rsidRPr="00B0644D">
        <w:rPr>
          <w:rFonts w:ascii="宋体" w:eastAsia="宋体" w:hAnsi="宋体" w:cs="Times New Roman"/>
          <w:sz w:val="28"/>
          <w:szCs w:val="28"/>
        </w:rPr>
        <w:t>16</w:t>
      </w:r>
      <w:r w:rsidR="00875730" w:rsidRPr="00B0644D">
        <w:rPr>
          <w:rFonts w:ascii="宋体" w:eastAsia="宋体" w:hAnsi="宋体" w:cs="Times New Roman"/>
          <w:sz w:val="28"/>
          <w:szCs w:val="28"/>
        </w:rPr>
        <w:t>-20</w:t>
      </w:r>
      <w:r w:rsidR="00EC7C72" w:rsidRPr="00B0644D">
        <w:rPr>
          <w:rFonts w:ascii="宋体" w:eastAsia="宋体" w:hAnsi="宋体" w:cs="Times New Roman"/>
          <w:sz w:val="28"/>
          <w:szCs w:val="28"/>
        </w:rPr>
        <w:t>30</w:t>
      </w:r>
      <w:r w:rsidR="00875730" w:rsidRPr="00B0644D">
        <w:rPr>
          <w:rFonts w:ascii="宋体" w:eastAsia="宋体" w:hAnsi="宋体" w:cs="Times New Roman"/>
          <w:sz w:val="28"/>
          <w:szCs w:val="28"/>
        </w:rPr>
        <w:t>年）》</w:t>
      </w:r>
      <w:r w:rsidRPr="00B0644D">
        <w:rPr>
          <w:rFonts w:ascii="宋体" w:eastAsia="宋体" w:hAnsi="宋体" w:cs="Times New Roman"/>
          <w:sz w:val="28"/>
          <w:szCs w:val="28"/>
        </w:rPr>
        <w:t>、《永春县国民经济和社会发展第十四个五年规划和二〇三五年远景目标纲要》</w:t>
      </w:r>
      <w:r w:rsidR="00116AF4" w:rsidRPr="00B0644D">
        <w:rPr>
          <w:rFonts w:ascii="宋体" w:eastAsia="宋体" w:hAnsi="宋体" w:cs="Times New Roman"/>
          <w:sz w:val="28"/>
          <w:szCs w:val="28"/>
        </w:rPr>
        <w:t>等，编制《</w:t>
      </w:r>
      <w:r w:rsidR="00875730" w:rsidRPr="00B0644D">
        <w:rPr>
          <w:rFonts w:ascii="宋体" w:eastAsia="宋体" w:hAnsi="宋体" w:cs="Times New Roman" w:hint="eastAsia"/>
          <w:sz w:val="28"/>
          <w:szCs w:val="28"/>
        </w:rPr>
        <w:t>永春县</w:t>
      </w:r>
      <w:r w:rsidR="00E833CE" w:rsidRPr="00B0644D">
        <w:rPr>
          <w:rFonts w:ascii="宋体" w:eastAsia="宋体" w:hAnsi="宋体" w:cs="Times New Roman" w:hint="eastAsia"/>
          <w:sz w:val="28"/>
          <w:szCs w:val="28"/>
        </w:rPr>
        <w:t>石鼓镇南环路加油站</w:t>
      </w:r>
      <w:r w:rsidR="00875730" w:rsidRPr="00B0644D">
        <w:rPr>
          <w:rFonts w:ascii="宋体" w:eastAsia="宋体" w:hAnsi="宋体" w:cs="Times New Roman" w:hint="eastAsia"/>
          <w:sz w:val="28"/>
          <w:szCs w:val="28"/>
        </w:rPr>
        <w:t>土地征收成片开发方案</w:t>
      </w:r>
      <w:r w:rsidR="00116AF4" w:rsidRPr="00B0644D">
        <w:rPr>
          <w:rFonts w:ascii="宋体" w:eastAsia="宋体" w:hAnsi="宋体" w:cs="Times New Roman"/>
          <w:sz w:val="28"/>
          <w:szCs w:val="28"/>
        </w:rPr>
        <w:t>》。</w:t>
      </w:r>
    </w:p>
    <w:p w14:paraId="4C0273EC" w14:textId="786AE92D" w:rsidR="001C205A"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二、</w:t>
      </w:r>
      <w:r w:rsidR="001C205A" w:rsidRPr="00B0644D">
        <w:rPr>
          <w:rFonts w:ascii="黑体" w:eastAsia="黑体" w:hAnsi="黑体" w:cs="Times New Roman"/>
          <w:sz w:val="28"/>
          <w:szCs w:val="28"/>
        </w:rPr>
        <w:t>基本情况</w:t>
      </w:r>
    </w:p>
    <w:p w14:paraId="15260638" w14:textId="6D2D89D5" w:rsidR="00164835"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本方案位于永春</w:t>
      </w:r>
      <w:proofErr w:type="gramStart"/>
      <w:r w:rsidRPr="00B0644D">
        <w:rPr>
          <w:rFonts w:ascii="宋体" w:eastAsia="宋体" w:hAnsi="宋体" w:cs="Times New Roman" w:hint="eastAsia"/>
          <w:sz w:val="28"/>
          <w:szCs w:val="28"/>
        </w:rPr>
        <w:t>县蓬壶镇</w:t>
      </w:r>
      <w:proofErr w:type="gramEnd"/>
      <w:r w:rsidRPr="00B0644D">
        <w:rPr>
          <w:rFonts w:ascii="宋体" w:eastAsia="宋体" w:hAnsi="宋体" w:cs="Times New Roman" w:hint="eastAsia"/>
          <w:sz w:val="28"/>
          <w:szCs w:val="28"/>
        </w:rPr>
        <w:t>工业园区，地处永春</w:t>
      </w:r>
      <w:proofErr w:type="gramStart"/>
      <w:r w:rsidRPr="00B0644D">
        <w:rPr>
          <w:rFonts w:ascii="宋体" w:eastAsia="宋体" w:hAnsi="宋体" w:cs="Times New Roman" w:hint="eastAsia"/>
          <w:sz w:val="28"/>
          <w:szCs w:val="28"/>
        </w:rPr>
        <w:t>县蓬壶镇</w:t>
      </w:r>
      <w:proofErr w:type="gramEnd"/>
      <w:r w:rsidRPr="00B0644D">
        <w:rPr>
          <w:rFonts w:ascii="宋体" w:eastAsia="宋体" w:hAnsi="宋体" w:cs="Times New Roman" w:hint="eastAsia"/>
          <w:sz w:val="28"/>
          <w:szCs w:val="28"/>
        </w:rPr>
        <w:t>辖区内的孔里村，是永春</w:t>
      </w:r>
      <w:proofErr w:type="gramStart"/>
      <w:r w:rsidRPr="00B0644D">
        <w:rPr>
          <w:rFonts w:ascii="宋体" w:eastAsia="宋体" w:hAnsi="宋体" w:cs="Times New Roman" w:hint="eastAsia"/>
          <w:sz w:val="28"/>
          <w:szCs w:val="28"/>
        </w:rPr>
        <w:t>县区域</w:t>
      </w:r>
      <w:proofErr w:type="gramEnd"/>
      <w:r w:rsidRPr="00B0644D">
        <w:rPr>
          <w:rFonts w:ascii="宋体" w:eastAsia="宋体" w:hAnsi="宋体" w:cs="Times New Roman" w:hint="eastAsia"/>
          <w:sz w:val="28"/>
          <w:szCs w:val="28"/>
        </w:rPr>
        <w:t>发展的重要腹地，区位优势明显。方案距永春县城区约</w:t>
      </w:r>
      <w:r w:rsidRPr="00B0644D">
        <w:rPr>
          <w:rFonts w:ascii="宋体" w:eastAsia="宋体" w:hAnsi="宋体" w:cs="Times New Roman"/>
          <w:sz w:val="28"/>
          <w:szCs w:val="28"/>
        </w:rPr>
        <w:t>28公里，距泉南高速入口1.5公里，同泉南、沙厦高速等重要的交通枢纽均可通过省道206线与其相连，对外交通十分便利</w:t>
      </w:r>
      <w:r w:rsidR="00EA3B62" w:rsidRPr="00B0644D">
        <w:rPr>
          <w:rFonts w:ascii="宋体" w:eastAsia="宋体" w:hAnsi="宋体" w:cs="Times New Roman" w:hint="eastAsia"/>
          <w:sz w:val="28"/>
          <w:szCs w:val="28"/>
        </w:rPr>
        <w:t>（附图1）</w:t>
      </w:r>
      <w:r w:rsidR="00875730" w:rsidRPr="00B0644D">
        <w:rPr>
          <w:rFonts w:ascii="宋体" w:eastAsia="宋体" w:hAnsi="宋体" w:cs="Times New Roman"/>
          <w:sz w:val="28"/>
          <w:szCs w:val="28"/>
        </w:rPr>
        <w:t>。</w:t>
      </w:r>
    </w:p>
    <w:p w14:paraId="6EC951E1" w14:textId="2EEB15A9" w:rsidR="00875730" w:rsidRPr="00B0644D" w:rsidRDefault="00875730"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本方案涉及</w:t>
      </w:r>
      <w:r w:rsidR="009D4240" w:rsidRPr="00B0644D">
        <w:rPr>
          <w:rFonts w:ascii="宋体" w:eastAsia="宋体" w:hAnsi="宋体" w:cs="Times New Roman" w:hint="eastAsia"/>
          <w:sz w:val="28"/>
          <w:szCs w:val="28"/>
        </w:rPr>
        <w:t>永春</w:t>
      </w:r>
      <w:proofErr w:type="gramStart"/>
      <w:r w:rsidR="009D4240" w:rsidRPr="00B0644D">
        <w:rPr>
          <w:rFonts w:ascii="宋体" w:eastAsia="宋体" w:hAnsi="宋体" w:cs="Times New Roman" w:hint="eastAsia"/>
          <w:sz w:val="28"/>
          <w:szCs w:val="28"/>
        </w:rPr>
        <w:t>县</w:t>
      </w:r>
      <w:r w:rsidR="00EC7C72" w:rsidRPr="00B0644D">
        <w:rPr>
          <w:rFonts w:ascii="宋体" w:eastAsia="宋体" w:hAnsi="宋体" w:cs="Times New Roman" w:hint="eastAsia"/>
          <w:sz w:val="28"/>
          <w:szCs w:val="28"/>
        </w:rPr>
        <w:t>蓬壶镇</w:t>
      </w:r>
      <w:proofErr w:type="gramEnd"/>
      <w:r w:rsidR="00EC7C72" w:rsidRPr="00B0644D">
        <w:rPr>
          <w:rFonts w:ascii="宋体" w:eastAsia="宋体" w:hAnsi="宋体" w:cs="Times New Roman" w:hint="eastAsia"/>
          <w:sz w:val="28"/>
          <w:szCs w:val="28"/>
        </w:rPr>
        <w:t>孔里村</w:t>
      </w:r>
      <w:r w:rsidRPr="00B0644D">
        <w:rPr>
          <w:rFonts w:ascii="宋体" w:eastAsia="宋体" w:hAnsi="宋体" w:cs="Times New Roman" w:hint="eastAsia"/>
          <w:sz w:val="28"/>
          <w:szCs w:val="28"/>
        </w:rPr>
        <w:t>，共</w:t>
      </w:r>
      <w:r w:rsidRPr="00B0644D">
        <w:rPr>
          <w:rFonts w:ascii="宋体" w:eastAsia="宋体" w:hAnsi="宋体" w:cs="Times New Roman"/>
          <w:sz w:val="28"/>
          <w:szCs w:val="28"/>
        </w:rPr>
        <w:t>1个镇1个</w:t>
      </w:r>
      <w:r w:rsidR="00EC7C72" w:rsidRPr="00B0644D">
        <w:rPr>
          <w:rFonts w:ascii="宋体" w:eastAsia="宋体" w:hAnsi="宋体" w:cs="Times New Roman" w:hint="eastAsia"/>
          <w:sz w:val="28"/>
          <w:szCs w:val="28"/>
        </w:rPr>
        <w:t>村</w:t>
      </w:r>
      <w:r w:rsidRPr="00B0644D">
        <w:rPr>
          <w:rFonts w:ascii="宋体" w:eastAsia="宋体" w:hAnsi="宋体" w:cs="Times New Roman"/>
          <w:sz w:val="28"/>
          <w:szCs w:val="28"/>
        </w:rPr>
        <w:t>；涉及1个国有单位；不涉及省级和国家级开发区。</w:t>
      </w:r>
      <w:r w:rsidRPr="00B0644D">
        <w:rPr>
          <w:rFonts w:ascii="宋体" w:eastAsia="宋体" w:hAnsi="宋体" w:cs="Times New Roman" w:hint="eastAsia"/>
          <w:sz w:val="28"/>
          <w:szCs w:val="28"/>
        </w:rPr>
        <w:t>根据实地勘测调查，本方案成片开发范围总面</w:t>
      </w:r>
      <w:r w:rsidRPr="00B0644D">
        <w:rPr>
          <w:rFonts w:ascii="宋体" w:eastAsia="宋体" w:hAnsi="宋体" w:cs="Times New Roman" w:hint="eastAsia"/>
          <w:sz w:val="28"/>
          <w:szCs w:val="28"/>
        </w:rPr>
        <w:lastRenderedPageBreak/>
        <w:t>积</w:t>
      </w:r>
      <w:r w:rsidR="00966009" w:rsidRPr="00B0644D">
        <w:rPr>
          <w:rFonts w:ascii="宋体" w:eastAsia="宋体" w:hAnsi="宋体" w:cs="Times New Roman"/>
          <w:sz w:val="28"/>
          <w:szCs w:val="28"/>
        </w:rPr>
        <w:t>4.</w:t>
      </w:r>
      <w:r w:rsidR="00EC7C72" w:rsidRPr="00B0644D">
        <w:rPr>
          <w:rFonts w:ascii="宋体" w:eastAsia="宋体" w:hAnsi="宋体" w:cs="Times New Roman"/>
          <w:sz w:val="28"/>
          <w:szCs w:val="28"/>
        </w:rPr>
        <w:t>086</w:t>
      </w:r>
      <w:r w:rsidR="00B0644D" w:rsidRPr="00B0644D">
        <w:rPr>
          <w:rFonts w:ascii="宋体" w:eastAsia="宋体" w:hAnsi="宋体" w:cs="Times New Roman"/>
          <w:sz w:val="28"/>
          <w:szCs w:val="28"/>
        </w:rPr>
        <w:t>6</w:t>
      </w:r>
      <w:r w:rsidRPr="00B0644D">
        <w:rPr>
          <w:rFonts w:ascii="宋体" w:eastAsia="宋体" w:hAnsi="宋体" w:cs="Times New Roman"/>
          <w:sz w:val="28"/>
          <w:szCs w:val="28"/>
        </w:rPr>
        <w:t>公顷。其中：农用地</w:t>
      </w:r>
      <w:r w:rsidR="00EC7C72" w:rsidRPr="00B0644D">
        <w:rPr>
          <w:rFonts w:ascii="宋体" w:eastAsia="宋体" w:hAnsi="宋体" w:cs="Times New Roman"/>
          <w:sz w:val="28"/>
          <w:szCs w:val="28"/>
        </w:rPr>
        <w:t>1.2174</w:t>
      </w:r>
      <w:r w:rsidRPr="00B0644D">
        <w:rPr>
          <w:rFonts w:ascii="宋体" w:eastAsia="宋体" w:hAnsi="宋体" w:cs="Times New Roman"/>
          <w:sz w:val="28"/>
          <w:szCs w:val="28"/>
        </w:rPr>
        <w:t>公顷（其中：</w:t>
      </w:r>
      <w:r w:rsidR="00EC7C72" w:rsidRPr="00B0644D">
        <w:rPr>
          <w:rFonts w:ascii="宋体" w:eastAsia="宋体" w:hAnsi="宋体" w:cs="Times New Roman" w:hint="eastAsia"/>
          <w:sz w:val="28"/>
          <w:szCs w:val="28"/>
        </w:rPr>
        <w:t>耕地</w:t>
      </w:r>
      <w:r w:rsidR="00EC7C72" w:rsidRPr="00B0644D">
        <w:rPr>
          <w:rFonts w:ascii="宋体" w:eastAsia="宋体" w:hAnsi="宋体" w:cs="Times New Roman"/>
          <w:sz w:val="28"/>
          <w:szCs w:val="28"/>
        </w:rPr>
        <w:t>0.38</w:t>
      </w:r>
      <w:r w:rsidR="00B0644D" w:rsidRPr="00B0644D">
        <w:rPr>
          <w:rFonts w:ascii="宋体" w:eastAsia="宋体" w:hAnsi="宋体" w:cs="Times New Roman"/>
          <w:sz w:val="28"/>
          <w:szCs w:val="28"/>
        </w:rPr>
        <w:t>01</w:t>
      </w:r>
      <w:r w:rsidR="00966009" w:rsidRPr="00B0644D">
        <w:rPr>
          <w:rFonts w:ascii="宋体" w:eastAsia="宋体" w:hAnsi="宋体" w:cs="Times New Roman"/>
          <w:sz w:val="28"/>
          <w:szCs w:val="28"/>
        </w:rPr>
        <w:t>公顷</w:t>
      </w:r>
      <w:r w:rsidRPr="00B0644D">
        <w:rPr>
          <w:rFonts w:ascii="宋体" w:eastAsia="宋体" w:hAnsi="宋体" w:cs="Times New Roman"/>
          <w:sz w:val="28"/>
          <w:szCs w:val="28"/>
        </w:rPr>
        <w:t>），建设用地</w:t>
      </w:r>
      <w:r w:rsidR="00EC7C72" w:rsidRPr="00B0644D">
        <w:rPr>
          <w:rFonts w:ascii="宋体" w:eastAsia="宋体" w:hAnsi="宋体" w:cs="Times New Roman"/>
          <w:sz w:val="28"/>
          <w:szCs w:val="28"/>
        </w:rPr>
        <w:t>2.869</w:t>
      </w:r>
      <w:r w:rsidR="00B0644D" w:rsidRPr="00B0644D">
        <w:rPr>
          <w:rFonts w:ascii="宋体" w:eastAsia="宋体" w:hAnsi="宋体" w:cs="Times New Roman"/>
          <w:sz w:val="28"/>
          <w:szCs w:val="28"/>
        </w:rPr>
        <w:t>2</w:t>
      </w:r>
      <w:r w:rsidRPr="00B0644D">
        <w:rPr>
          <w:rFonts w:ascii="宋体" w:eastAsia="宋体" w:hAnsi="宋体" w:cs="Times New Roman"/>
          <w:sz w:val="28"/>
          <w:szCs w:val="28"/>
        </w:rPr>
        <w:t>公顷</w:t>
      </w:r>
      <w:r w:rsidR="00966009" w:rsidRPr="00B0644D">
        <w:rPr>
          <w:rFonts w:ascii="宋体" w:eastAsia="宋体" w:hAnsi="宋体" w:cs="Times New Roman" w:hint="eastAsia"/>
          <w:sz w:val="28"/>
          <w:szCs w:val="28"/>
        </w:rPr>
        <w:t>。</w:t>
      </w:r>
    </w:p>
    <w:p w14:paraId="3C572624" w14:textId="29FEA658" w:rsidR="001C205A"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三、</w:t>
      </w:r>
      <w:r w:rsidR="001C205A" w:rsidRPr="00B0644D">
        <w:rPr>
          <w:rFonts w:ascii="黑体" w:eastAsia="黑体" w:hAnsi="黑体" w:cs="Times New Roman"/>
          <w:sz w:val="28"/>
          <w:szCs w:val="28"/>
        </w:rPr>
        <w:t>必要性分析</w:t>
      </w:r>
    </w:p>
    <w:p w14:paraId="765F013A" w14:textId="1D360EE2" w:rsidR="00875730" w:rsidRPr="00B0644D" w:rsidRDefault="00966009"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（一）</w:t>
      </w:r>
      <w:r w:rsidR="00EC7C72" w:rsidRPr="00B0644D">
        <w:rPr>
          <w:rFonts w:ascii="宋体" w:eastAsia="宋体" w:hAnsi="宋体" w:cs="Times New Roman" w:hint="eastAsia"/>
          <w:sz w:val="28"/>
          <w:szCs w:val="28"/>
        </w:rPr>
        <w:t>提升永春综合竞争力的需要</w:t>
      </w:r>
    </w:p>
    <w:p w14:paraId="0E9360D2" w14:textId="77777777" w:rsidR="00B0644D"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永春县</w:t>
      </w:r>
      <w:r w:rsidRPr="00B0644D">
        <w:rPr>
          <w:rFonts w:ascii="宋体" w:eastAsia="宋体" w:hAnsi="宋体" w:cs="Times New Roman"/>
          <w:sz w:val="28"/>
          <w:szCs w:val="28"/>
        </w:rPr>
        <w:t>2020年三次产业结构为5.4：62.9：31.7，工业在永春经济社会发展中起到支撑作用。方案地块的开发建设，一方面将通过完善交通路网、公共服务设施和市政基础设施配套，打造标准化工业园区，为</w:t>
      </w:r>
      <w:proofErr w:type="gramStart"/>
      <w:r w:rsidRPr="00B0644D">
        <w:rPr>
          <w:rFonts w:ascii="宋体" w:eastAsia="宋体" w:hAnsi="宋体" w:cs="Times New Roman"/>
          <w:sz w:val="28"/>
          <w:szCs w:val="28"/>
        </w:rPr>
        <w:t>蓬壶镇乃至</w:t>
      </w:r>
      <w:proofErr w:type="gramEnd"/>
      <w:r w:rsidRPr="00B0644D">
        <w:rPr>
          <w:rFonts w:ascii="宋体" w:eastAsia="宋体" w:hAnsi="宋体" w:cs="Times New Roman"/>
          <w:sz w:val="28"/>
          <w:szCs w:val="28"/>
        </w:rPr>
        <w:t>永春</w:t>
      </w:r>
      <w:proofErr w:type="gramStart"/>
      <w:r w:rsidRPr="00B0644D">
        <w:rPr>
          <w:rFonts w:ascii="宋体" w:eastAsia="宋体" w:hAnsi="宋体" w:cs="Times New Roman"/>
          <w:sz w:val="28"/>
          <w:szCs w:val="28"/>
        </w:rPr>
        <w:t>县对外</w:t>
      </w:r>
      <w:proofErr w:type="gramEnd"/>
      <w:r w:rsidRPr="00B0644D">
        <w:rPr>
          <w:rFonts w:ascii="宋体" w:eastAsia="宋体" w:hAnsi="宋体" w:cs="Times New Roman"/>
          <w:sz w:val="28"/>
          <w:szCs w:val="28"/>
        </w:rPr>
        <w:t>招商引资搭建更大的发展平台，对永春县打造县域发展副中心具有积极推动作用；另一方面引进新企业落地，将补充优化永春县现有产业结构和布局，促进产业集聚，挖掘经济新增长点，进一步拓展</w:t>
      </w:r>
      <w:proofErr w:type="gramStart"/>
      <w:r w:rsidRPr="00B0644D">
        <w:rPr>
          <w:rFonts w:ascii="宋体" w:eastAsia="宋体" w:hAnsi="宋体" w:cs="Times New Roman"/>
          <w:sz w:val="28"/>
          <w:szCs w:val="28"/>
        </w:rPr>
        <w:t>蓬壶镇作为</w:t>
      </w:r>
      <w:proofErr w:type="gramEnd"/>
      <w:r w:rsidRPr="00B0644D">
        <w:rPr>
          <w:rFonts w:ascii="宋体" w:eastAsia="宋体" w:hAnsi="宋体" w:cs="Times New Roman"/>
          <w:sz w:val="28"/>
          <w:szCs w:val="28"/>
        </w:rPr>
        <w:t>经济发达镇的优势，提升永春县综合竞争力。</w:t>
      </w:r>
    </w:p>
    <w:p w14:paraId="7A6BA997" w14:textId="59398440" w:rsidR="00875730" w:rsidRPr="00B0644D" w:rsidRDefault="00966009"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（二）</w:t>
      </w:r>
      <w:r w:rsidR="00EC7C72" w:rsidRPr="00B0644D">
        <w:rPr>
          <w:rFonts w:ascii="宋体" w:eastAsia="宋体" w:hAnsi="宋体" w:cs="Times New Roman" w:hint="eastAsia"/>
          <w:sz w:val="28"/>
          <w:szCs w:val="28"/>
        </w:rPr>
        <w:t>向高质量发展转型的需要</w:t>
      </w:r>
    </w:p>
    <w:p w14:paraId="75FF9AD9" w14:textId="77777777" w:rsidR="00B0644D"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当前，国内面临经济结构转型升级的重要任务，也面临着新一轮产业革命和新经济蓬勃发展的新机遇，智能制造作为制造业发展的方向，是永春县实现高质量发展的重要路径。蓬壶工业园区重点发展智能制造业及现代化物流产业，是永春县积极谋划、加快推进向高质量发展转型的关键。工业园区的建设吸引新兴产业走向产业集群，对企业互相协作和沟通起到引导作用，</w:t>
      </w:r>
      <w:proofErr w:type="gramStart"/>
      <w:r w:rsidRPr="00B0644D">
        <w:rPr>
          <w:rFonts w:ascii="宋体" w:eastAsia="宋体" w:hAnsi="宋体" w:cs="Times New Roman" w:hint="eastAsia"/>
          <w:sz w:val="28"/>
          <w:szCs w:val="28"/>
        </w:rPr>
        <w:t>促进业</w:t>
      </w:r>
      <w:proofErr w:type="gramEnd"/>
      <w:r w:rsidRPr="00B0644D">
        <w:rPr>
          <w:rFonts w:ascii="宋体" w:eastAsia="宋体" w:hAnsi="宋体" w:cs="Times New Roman" w:hint="eastAsia"/>
          <w:sz w:val="28"/>
          <w:szCs w:val="28"/>
        </w:rPr>
        <w:t>整体质量、效率和效益的全面提升，为永春产业转型升级和持续发展提供了基础和可能</w:t>
      </w:r>
      <w:r w:rsidRPr="00B0644D">
        <w:rPr>
          <w:rFonts w:ascii="宋体" w:eastAsia="宋体" w:hAnsi="宋体" w:cs="Times New Roman"/>
          <w:sz w:val="28"/>
          <w:szCs w:val="28"/>
        </w:rPr>
        <w:t>, 为蓬壶高质量发展落实赶超凝聚合力，让人民群众逐步过上更加富裕幸福的生活。</w:t>
      </w:r>
    </w:p>
    <w:p w14:paraId="58DAA5C4" w14:textId="05BAA97E" w:rsidR="00875730" w:rsidRPr="00B0644D" w:rsidRDefault="00966009" w:rsidP="00B0644D">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（三）</w:t>
      </w:r>
      <w:r w:rsidR="00EC7C72" w:rsidRPr="00B0644D">
        <w:rPr>
          <w:rFonts w:ascii="宋体" w:eastAsia="宋体" w:hAnsi="宋体" w:cs="Times New Roman" w:hint="eastAsia"/>
          <w:sz w:val="28"/>
          <w:szCs w:val="28"/>
        </w:rPr>
        <w:t>打造现代化工业园区的需要</w:t>
      </w:r>
    </w:p>
    <w:p w14:paraId="69F49F82" w14:textId="44B65B02" w:rsidR="00EC7C72"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本方案所处区域是蓬壶工业园区的重要组成部分，区位优势明显，但仍缺乏更深层次的开发挖潜。本方案的开发建设，将完善园区综合功能，优化</w:t>
      </w:r>
      <w:r w:rsidRPr="00B0644D">
        <w:rPr>
          <w:rFonts w:ascii="宋体" w:eastAsia="宋体" w:hAnsi="宋体" w:cs="Times New Roman" w:hint="eastAsia"/>
          <w:sz w:val="28"/>
          <w:szCs w:val="28"/>
        </w:rPr>
        <w:lastRenderedPageBreak/>
        <w:t>空间布局，进而起到引擎作用，在完善园区综合功能的基础上，统合周边地块共同构筑成为空间布局有序、产业结构科学以及公共设施完善的现代化园区，为企业提供良好的空间载体和创业环境，促进企业向园区集中形成“聚集效应”，提高工业经济总量，加快工业化进程，最终实现区域经济跨越式发展</w:t>
      </w:r>
      <w:r w:rsidR="00EC7C72" w:rsidRPr="00B0644D">
        <w:rPr>
          <w:rFonts w:ascii="宋体" w:eastAsia="宋体" w:hAnsi="宋体" w:cs="Times New Roman" w:hint="eastAsia"/>
          <w:sz w:val="28"/>
          <w:szCs w:val="28"/>
        </w:rPr>
        <w:t>。</w:t>
      </w:r>
    </w:p>
    <w:p w14:paraId="0CC72696" w14:textId="1372157C" w:rsidR="001C205A"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四、</w:t>
      </w:r>
      <w:r w:rsidR="001C205A" w:rsidRPr="00B0644D">
        <w:rPr>
          <w:rFonts w:ascii="黑体" w:eastAsia="黑体" w:hAnsi="黑体" w:cs="Times New Roman"/>
          <w:sz w:val="28"/>
          <w:szCs w:val="28"/>
        </w:rPr>
        <w:t>主要用途、实现功能及公益性用地比例</w:t>
      </w:r>
    </w:p>
    <w:p w14:paraId="4EB795DB" w14:textId="717E7CB0" w:rsidR="00710E9A"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本方案用地总面积</w:t>
      </w:r>
      <w:r w:rsidRPr="00B0644D">
        <w:rPr>
          <w:rFonts w:ascii="宋体" w:eastAsia="宋体" w:hAnsi="宋体" w:cs="Times New Roman"/>
          <w:sz w:val="28"/>
          <w:szCs w:val="28"/>
        </w:rPr>
        <w:t>4.0866公顷，主要用途分为工业用地、防护绿地、城镇道路用地</w:t>
      </w:r>
      <w:r w:rsidR="00710E9A" w:rsidRPr="00B0644D">
        <w:rPr>
          <w:rFonts w:ascii="宋体" w:eastAsia="宋体" w:hAnsi="宋体" w:cs="Times New Roman"/>
          <w:sz w:val="28"/>
          <w:szCs w:val="28"/>
        </w:rPr>
        <w:t>。</w:t>
      </w:r>
    </w:p>
    <w:p w14:paraId="1C4565E9" w14:textId="6196ABE0" w:rsidR="00875730"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公益性用地包含防护绿地、城镇道路用地，合计</w:t>
      </w:r>
      <w:r w:rsidRPr="00B0644D">
        <w:rPr>
          <w:rFonts w:ascii="宋体" w:eastAsia="宋体" w:hAnsi="宋体" w:cs="Times New Roman"/>
          <w:sz w:val="28"/>
          <w:szCs w:val="28"/>
        </w:rPr>
        <w:t>1.7737公顷，占用地总面积的43.40%，符合自然资</w:t>
      </w:r>
      <w:proofErr w:type="gramStart"/>
      <w:r w:rsidRPr="00B0644D">
        <w:rPr>
          <w:rFonts w:ascii="宋体" w:eastAsia="宋体" w:hAnsi="宋体" w:cs="Times New Roman"/>
          <w:sz w:val="28"/>
          <w:szCs w:val="28"/>
        </w:rPr>
        <w:t>规</w:t>
      </w:r>
      <w:proofErr w:type="gramEnd"/>
      <w:r w:rsidRPr="00B0644D">
        <w:rPr>
          <w:rFonts w:ascii="宋体" w:eastAsia="宋体" w:hAnsi="宋体" w:cs="Times New Roman"/>
          <w:sz w:val="28"/>
          <w:szCs w:val="28"/>
        </w:rPr>
        <w:t>〔2020〕5号文规定</w:t>
      </w:r>
      <w:r w:rsidR="00875730" w:rsidRPr="00B0644D">
        <w:rPr>
          <w:rFonts w:ascii="宋体" w:eastAsia="宋体" w:hAnsi="宋体" w:cs="Times New Roman"/>
          <w:sz w:val="28"/>
          <w:szCs w:val="28"/>
        </w:rPr>
        <w:t>。</w:t>
      </w:r>
    </w:p>
    <w:p w14:paraId="2D635D6F" w14:textId="3135C28C" w:rsidR="001C205A"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五、</w:t>
      </w:r>
      <w:r w:rsidR="001C205A" w:rsidRPr="00B0644D">
        <w:rPr>
          <w:rFonts w:ascii="黑体" w:eastAsia="黑体" w:hAnsi="黑体" w:cs="Times New Roman"/>
          <w:sz w:val="28"/>
          <w:szCs w:val="28"/>
        </w:rPr>
        <w:t>拟建项目与实施计划</w:t>
      </w:r>
    </w:p>
    <w:p w14:paraId="616D9FE5" w14:textId="4ADB85B2" w:rsidR="00710E9A" w:rsidRPr="00B0644D" w:rsidRDefault="00710E9A"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本方案用地总面积</w:t>
      </w:r>
      <w:r w:rsidR="00EC7C72" w:rsidRPr="00B0644D">
        <w:rPr>
          <w:rFonts w:ascii="宋体" w:eastAsia="宋体" w:hAnsi="宋体" w:cs="Times New Roman"/>
          <w:sz w:val="28"/>
          <w:szCs w:val="28"/>
        </w:rPr>
        <w:t>4.086</w:t>
      </w:r>
      <w:r w:rsidR="00B0644D" w:rsidRPr="00B0644D">
        <w:rPr>
          <w:rFonts w:ascii="宋体" w:eastAsia="宋体" w:hAnsi="宋体" w:cs="Times New Roman"/>
          <w:sz w:val="28"/>
          <w:szCs w:val="28"/>
        </w:rPr>
        <w:t>6</w:t>
      </w:r>
      <w:r w:rsidRPr="00B0644D">
        <w:rPr>
          <w:rFonts w:ascii="宋体" w:eastAsia="宋体" w:hAnsi="宋体" w:cs="Times New Roman"/>
          <w:sz w:val="28"/>
          <w:szCs w:val="28"/>
        </w:rPr>
        <w:t>公顷，其中涉及已完成实施面积</w:t>
      </w:r>
      <w:r w:rsidR="00693344" w:rsidRPr="00B0644D">
        <w:rPr>
          <w:rFonts w:ascii="宋体" w:eastAsia="宋体" w:hAnsi="宋体" w:cs="Times New Roman"/>
          <w:sz w:val="28"/>
          <w:szCs w:val="28"/>
        </w:rPr>
        <w:t>2.5691</w:t>
      </w:r>
      <w:r w:rsidRPr="00B0644D">
        <w:rPr>
          <w:rFonts w:ascii="宋体" w:eastAsia="宋体" w:hAnsi="宋体" w:cs="Times New Roman"/>
          <w:sz w:val="28"/>
          <w:szCs w:val="28"/>
        </w:rPr>
        <w:t>公顷，故拟安排实施项目面积</w:t>
      </w:r>
      <w:r w:rsidR="00693344" w:rsidRPr="00B0644D">
        <w:rPr>
          <w:rFonts w:ascii="宋体" w:eastAsia="宋体" w:hAnsi="宋体" w:cs="Times New Roman"/>
          <w:sz w:val="28"/>
          <w:szCs w:val="28"/>
        </w:rPr>
        <w:t>1.5175</w:t>
      </w:r>
      <w:r w:rsidRPr="00B0644D">
        <w:rPr>
          <w:rFonts w:ascii="宋体" w:eastAsia="宋体" w:hAnsi="宋体" w:cs="Times New Roman"/>
          <w:sz w:val="28"/>
          <w:szCs w:val="28"/>
        </w:rPr>
        <w:t>公顷，计划实施周期为2021年</w:t>
      </w:r>
      <w:r w:rsidR="00B0644D" w:rsidRPr="00B0644D">
        <w:rPr>
          <w:rFonts w:ascii="宋体" w:eastAsia="宋体" w:hAnsi="宋体" w:cs="Times New Roman" w:hint="eastAsia"/>
          <w:sz w:val="28"/>
          <w:szCs w:val="28"/>
        </w:rPr>
        <w:t>至</w:t>
      </w:r>
      <w:r w:rsidRPr="00B0644D">
        <w:rPr>
          <w:rFonts w:ascii="宋体" w:eastAsia="宋体" w:hAnsi="宋体" w:cs="Times New Roman"/>
          <w:sz w:val="28"/>
          <w:szCs w:val="28"/>
        </w:rPr>
        <w:t>2022年，2年内实施完毕</w:t>
      </w:r>
      <w:r w:rsidRPr="00B0644D">
        <w:rPr>
          <w:rFonts w:ascii="宋体" w:eastAsia="宋体" w:hAnsi="宋体" w:cs="Times New Roman" w:hint="eastAsia"/>
          <w:sz w:val="28"/>
          <w:szCs w:val="28"/>
        </w:rPr>
        <w:t>。</w:t>
      </w:r>
    </w:p>
    <w:p w14:paraId="33E19055" w14:textId="78C9F217" w:rsidR="001C205A"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六、</w:t>
      </w:r>
      <w:r w:rsidR="001C205A" w:rsidRPr="00B0644D">
        <w:rPr>
          <w:rFonts w:ascii="黑体" w:eastAsia="黑体" w:hAnsi="黑体" w:cs="Times New Roman"/>
          <w:sz w:val="28"/>
          <w:szCs w:val="28"/>
        </w:rPr>
        <w:t>合</w:t>
      </w:r>
      <w:proofErr w:type="gramStart"/>
      <w:r w:rsidR="001C205A" w:rsidRPr="00B0644D">
        <w:rPr>
          <w:rFonts w:ascii="黑体" w:eastAsia="黑体" w:hAnsi="黑体" w:cs="Times New Roman"/>
          <w:sz w:val="28"/>
          <w:szCs w:val="28"/>
        </w:rPr>
        <w:t>规</w:t>
      </w:r>
      <w:proofErr w:type="gramEnd"/>
      <w:r w:rsidR="001C205A" w:rsidRPr="00B0644D">
        <w:rPr>
          <w:rFonts w:ascii="黑体" w:eastAsia="黑体" w:hAnsi="黑体" w:cs="Times New Roman"/>
          <w:sz w:val="28"/>
          <w:szCs w:val="28"/>
        </w:rPr>
        <w:t>性分析</w:t>
      </w:r>
    </w:p>
    <w:p w14:paraId="6F6AD5EE" w14:textId="77777777" w:rsidR="00116AF4" w:rsidRPr="00B0644D" w:rsidRDefault="00116AF4" w:rsidP="00590BC2">
      <w:pPr>
        <w:pStyle w:val="a5"/>
        <w:numPr>
          <w:ilvl w:val="1"/>
          <w:numId w:val="1"/>
        </w:numPr>
        <w:ind w:left="0" w:firstLine="560"/>
        <w:rPr>
          <w:rFonts w:ascii="宋体" w:eastAsia="宋体" w:hAnsi="宋体" w:cs="Times New Roman"/>
          <w:sz w:val="28"/>
          <w:szCs w:val="28"/>
        </w:rPr>
      </w:pPr>
      <w:r w:rsidRPr="00B0644D">
        <w:rPr>
          <w:rFonts w:ascii="宋体" w:eastAsia="宋体" w:hAnsi="宋体" w:cs="Times New Roman" w:hint="eastAsia"/>
          <w:sz w:val="28"/>
          <w:szCs w:val="28"/>
        </w:rPr>
        <w:t>国土空间规划符合性</w:t>
      </w:r>
    </w:p>
    <w:p w14:paraId="038A615B" w14:textId="4DF0C00D" w:rsidR="00710E9A"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本方案位于土地利用总体规划确定的允许建设区和有条件建设区，面积分别为</w:t>
      </w:r>
      <w:r w:rsidRPr="00B0644D">
        <w:rPr>
          <w:rFonts w:ascii="宋体" w:eastAsia="宋体" w:hAnsi="宋体" w:cs="Times New Roman"/>
          <w:sz w:val="28"/>
          <w:szCs w:val="28"/>
        </w:rPr>
        <w:t>2.8726公顷和1.2140公顷。过渡期间，建设规模和用地布局与土地利用总体规划、城市总体规划、控制性详细规划衔接一致。同时，永春县人民政府承诺方案获批后，土地征收成片开发范围纳入国土空间规划确定的城镇开发边界内的集中建设区，并符合规划管控要求</w:t>
      </w:r>
      <w:r w:rsidR="00710E9A" w:rsidRPr="00B0644D">
        <w:rPr>
          <w:rFonts w:ascii="宋体" w:eastAsia="宋体" w:hAnsi="宋体" w:cs="Times New Roman"/>
          <w:sz w:val="28"/>
          <w:szCs w:val="28"/>
        </w:rPr>
        <w:t>。</w:t>
      </w:r>
    </w:p>
    <w:p w14:paraId="7AC4E3FB" w14:textId="77777777" w:rsidR="00116AF4" w:rsidRPr="00B0644D" w:rsidRDefault="00116AF4" w:rsidP="00590BC2">
      <w:pPr>
        <w:pStyle w:val="a5"/>
        <w:numPr>
          <w:ilvl w:val="1"/>
          <w:numId w:val="1"/>
        </w:numPr>
        <w:ind w:left="0" w:firstLine="560"/>
        <w:rPr>
          <w:rFonts w:ascii="宋体" w:eastAsia="宋体" w:hAnsi="宋体" w:cs="Times New Roman"/>
          <w:sz w:val="28"/>
          <w:szCs w:val="28"/>
        </w:rPr>
      </w:pPr>
      <w:r w:rsidRPr="00B0644D">
        <w:rPr>
          <w:rFonts w:ascii="宋体" w:eastAsia="宋体" w:hAnsi="宋体" w:cs="Times New Roman" w:hint="eastAsia"/>
          <w:sz w:val="28"/>
          <w:szCs w:val="28"/>
        </w:rPr>
        <w:t>国民经济和社会发展规划、年度计划符合性</w:t>
      </w:r>
    </w:p>
    <w:p w14:paraId="6E6B0F97" w14:textId="77777777" w:rsidR="00116AF4" w:rsidRPr="00B0644D" w:rsidRDefault="00116AF4"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本方案与现行国民经济和社会发展规划相符，已纳入国民经济和社会发</w:t>
      </w:r>
      <w:r w:rsidRPr="00B0644D">
        <w:rPr>
          <w:rFonts w:ascii="宋体" w:eastAsia="宋体" w:hAnsi="宋体" w:cs="Times New Roman" w:hint="eastAsia"/>
          <w:sz w:val="28"/>
          <w:szCs w:val="28"/>
        </w:rPr>
        <w:lastRenderedPageBreak/>
        <w:t>展年度计划。</w:t>
      </w:r>
    </w:p>
    <w:p w14:paraId="1C41F3FE" w14:textId="6E968BDA" w:rsidR="00116AF4" w:rsidRPr="00B0644D" w:rsidRDefault="00116AF4" w:rsidP="00590BC2">
      <w:pPr>
        <w:pStyle w:val="a5"/>
        <w:numPr>
          <w:ilvl w:val="1"/>
          <w:numId w:val="1"/>
        </w:numPr>
        <w:ind w:left="0" w:firstLine="560"/>
        <w:rPr>
          <w:rFonts w:ascii="宋体" w:eastAsia="宋体" w:hAnsi="宋体" w:cs="Times New Roman"/>
          <w:sz w:val="28"/>
          <w:szCs w:val="28"/>
        </w:rPr>
      </w:pPr>
      <w:r w:rsidRPr="00B0644D">
        <w:rPr>
          <w:rFonts w:ascii="宋体" w:eastAsia="宋体" w:hAnsi="宋体" w:cs="Times New Roman" w:hint="eastAsia"/>
          <w:sz w:val="28"/>
          <w:szCs w:val="28"/>
        </w:rPr>
        <w:t>占用永久基本农田和其他法律法规不允许占用或开发的</w:t>
      </w:r>
      <w:r w:rsidR="00B0644D" w:rsidRPr="00B0644D">
        <w:rPr>
          <w:rFonts w:ascii="宋体" w:eastAsia="宋体" w:hAnsi="宋体" w:cs="Times New Roman" w:hint="eastAsia"/>
          <w:sz w:val="28"/>
          <w:szCs w:val="28"/>
        </w:rPr>
        <w:t>情形</w:t>
      </w:r>
    </w:p>
    <w:p w14:paraId="293A0C8D" w14:textId="6B8DF935" w:rsidR="00116AF4" w:rsidRPr="00B0644D" w:rsidRDefault="00710E9A"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w:t>
      </w:r>
      <w:r w:rsidR="00875730" w:rsidRPr="00B0644D">
        <w:rPr>
          <w:rFonts w:ascii="宋体" w:eastAsia="宋体" w:hAnsi="宋体" w:cs="Times New Roman" w:hint="eastAsia"/>
          <w:sz w:val="28"/>
          <w:szCs w:val="28"/>
        </w:rPr>
        <w:t>方案未涉及占用永久基本农田、生态保护红线、各级（国家级、省级、市级、县级等）各类（生态系统类、野生生物类、自然遗迹类等）自然保护区等区域。同时，成片开发范围内，不涉及历史文化名城名镇名村传统村落、文物建筑、历史建筑及遗址等，不涉及自然保护地、饮用水水源保护区等各类保护区。</w:t>
      </w:r>
    </w:p>
    <w:p w14:paraId="33003652" w14:textId="7B4299A8" w:rsidR="001C205A" w:rsidRPr="00B0644D" w:rsidRDefault="00590BC2" w:rsidP="00590BC2">
      <w:pPr>
        <w:rPr>
          <w:rFonts w:ascii="黑体" w:eastAsia="黑体" w:hAnsi="黑体" w:cs="Times New Roman"/>
          <w:sz w:val="28"/>
          <w:szCs w:val="28"/>
        </w:rPr>
      </w:pPr>
      <w:r w:rsidRPr="00B0644D">
        <w:rPr>
          <w:rFonts w:ascii="黑体" w:eastAsia="黑体" w:hAnsi="黑体" w:cs="Times New Roman" w:hint="eastAsia"/>
          <w:sz w:val="28"/>
          <w:szCs w:val="28"/>
        </w:rPr>
        <w:t>七、</w:t>
      </w:r>
      <w:r w:rsidR="001C205A" w:rsidRPr="00B0644D">
        <w:rPr>
          <w:rFonts w:ascii="黑体" w:eastAsia="黑体" w:hAnsi="黑体" w:cs="Times New Roman"/>
          <w:sz w:val="28"/>
          <w:szCs w:val="28"/>
        </w:rPr>
        <w:t>土地征收成片开发效益评估</w:t>
      </w:r>
    </w:p>
    <w:p w14:paraId="2A30AB00" w14:textId="2DA4A9FB" w:rsidR="00875730" w:rsidRPr="00B0644D" w:rsidRDefault="00693344"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（一）</w:t>
      </w:r>
      <w:r w:rsidR="00875730" w:rsidRPr="00B0644D">
        <w:rPr>
          <w:rFonts w:ascii="宋体" w:eastAsia="宋体" w:hAnsi="宋体" w:cs="Times New Roman" w:hint="eastAsia"/>
          <w:sz w:val="28"/>
          <w:szCs w:val="28"/>
        </w:rPr>
        <w:t>土地利用效益</w:t>
      </w:r>
    </w:p>
    <w:p w14:paraId="281CF638" w14:textId="195309EA" w:rsidR="00875730"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sz w:val="28"/>
          <w:szCs w:val="28"/>
        </w:rPr>
        <w:t>本方案</w:t>
      </w:r>
      <w:r w:rsidRPr="00B0644D">
        <w:rPr>
          <w:rFonts w:ascii="宋体" w:eastAsia="宋体" w:hAnsi="宋体" w:cs="Times New Roman" w:hint="eastAsia"/>
          <w:sz w:val="28"/>
          <w:szCs w:val="28"/>
        </w:rPr>
        <w:t>容积率≤</w:t>
      </w:r>
      <w:r w:rsidRPr="00B0644D">
        <w:rPr>
          <w:rFonts w:ascii="宋体" w:eastAsia="宋体" w:hAnsi="宋体" w:cs="Times New Roman"/>
          <w:sz w:val="28"/>
          <w:szCs w:val="28"/>
        </w:rPr>
        <w:t>2.5</w:t>
      </w:r>
      <w:r w:rsidRPr="00B0644D">
        <w:rPr>
          <w:rFonts w:ascii="宋体" w:eastAsia="宋体" w:hAnsi="宋体" w:cs="Times New Roman" w:hint="eastAsia"/>
          <w:sz w:val="28"/>
          <w:szCs w:val="28"/>
        </w:rPr>
        <w:t>，预计开发投资强度不低于3</w:t>
      </w:r>
      <w:r w:rsidRPr="00B0644D">
        <w:rPr>
          <w:rFonts w:ascii="宋体" w:eastAsia="宋体" w:hAnsi="宋体" w:cs="Times New Roman"/>
          <w:sz w:val="28"/>
          <w:szCs w:val="28"/>
        </w:rPr>
        <w:t>145</w:t>
      </w:r>
      <w:r w:rsidRPr="00B0644D">
        <w:rPr>
          <w:rFonts w:ascii="宋体" w:eastAsia="宋体" w:hAnsi="宋体" w:cs="Times New Roman" w:hint="eastAsia"/>
          <w:sz w:val="28"/>
          <w:szCs w:val="28"/>
        </w:rPr>
        <w:t>万元/公顷，通过土地利用开发，合理安排建设用地规模、结构和布局，本方案将强化土地集中管理，按实施计划供地，提升土地的使用效益，实现土地利用由粗放型向集约型转变，进一步释放蓬壶工业园区发展空间和潜力</w:t>
      </w:r>
      <w:r w:rsidR="00693344" w:rsidRPr="00B0644D">
        <w:rPr>
          <w:rFonts w:ascii="宋体" w:eastAsia="宋体" w:hAnsi="宋体" w:cs="Times New Roman"/>
          <w:sz w:val="28"/>
          <w:szCs w:val="28"/>
        </w:rPr>
        <w:t>。</w:t>
      </w:r>
    </w:p>
    <w:p w14:paraId="7A1E864D" w14:textId="365C03E1" w:rsidR="00164835" w:rsidRPr="00B0644D" w:rsidRDefault="00693344"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（二）</w:t>
      </w:r>
      <w:r w:rsidR="00164835" w:rsidRPr="00B0644D">
        <w:rPr>
          <w:rFonts w:ascii="宋体" w:eastAsia="宋体" w:hAnsi="宋体" w:cs="Times New Roman"/>
          <w:sz w:val="28"/>
          <w:szCs w:val="28"/>
        </w:rPr>
        <w:t>经济效益</w:t>
      </w:r>
    </w:p>
    <w:p w14:paraId="69EE9CDC" w14:textId="77777777" w:rsidR="00B0644D" w:rsidRPr="00B0644D" w:rsidRDefault="00B0644D"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本方案所涉企业的生产消费和纳税可促进地方经济，增加政府财政收入。根据永春县工业用地地</w:t>
      </w:r>
      <w:proofErr w:type="gramStart"/>
      <w:r w:rsidRPr="00B0644D">
        <w:rPr>
          <w:rFonts w:ascii="宋体" w:eastAsia="宋体" w:hAnsi="宋体" w:cs="Times New Roman" w:hint="eastAsia"/>
          <w:sz w:val="28"/>
          <w:szCs w:val="28"/>
        </w:rPr>
        <w:t>均税收</w:t>
      </w:r>
      <w:proofErr w:type="gramEnd"/>
      <w:r w:rsidRPr="00B0644D">
        <w:rPr>
          <w:rFonts w:ascii="宋体" w:eastAsia="宋体" w:hAnsi="宋体" w:cs="Times New Roman" w:hint="eastAsia"/>
          <w:sz w:val="28"/>
          <w:szCs w:val="28"/>
        </w:rPr>
        <w:t>约为</w:t>
      </w:r>
      <w:r w:rsidRPr="00B0644D">
        <w:rPr>
          <w:rFonts w:ascii="宋体" w:eastAsia="宋体" w:hAnsi="宋体" w:cs="Times New Roman"/>
          <w:sz w:val="28"/>
          <w:szCs w:val="28"/>
        </w:rPr>
        <w:t>230.24万元/公顷的标准测算，本方案实施范围内工业用地1.5175公顷，预计可实现年税收350万元。同时对区域的开发建设推动了园区发展条件的进一步优化，吸引优质企业的入驻发展，实现“筑巢引凤”作用，同时集聚人气、融合多种配套服务业，进而提升</w:t>
      </w:r>
      <w:proofErr w:type="gramStart"/>
      <w:r w:rsidRPr="00B0644D">
        <w:rPr>
          <w:rFonts w:ascii="宋体" w:eastAsia="宋体" w:hAnsi="宋体" w:cs="Times New Roman"/>
          <w:sz w:val="28"/>
          <w:szCs w:val="28"/>
        </w:rPr>
        <w:t>蓬壶镇的</w:t>
      </w:r>
      <w:proofErr w:type="gramEnd"/>
      <w:r w:rsidRPr="00B0644D">
        <w:rPr>
          <w:rFonts w:ascii="宋体" w:eastAsia="宋体" w:hAnsi="宋体" w:cs="Times New Roman"/>
          <w:sz w:val="28"/>
          <w:szCs w:val="28"/>
        </w:rPr>
        <w:t>辐射能力，为城镇发展注入新活力。</w:t>
      </w:r>
    </w:p>
    <w:p w14:paraId="7AEC18D9" w14:textId="35611EFD" w:rsidR="00164835" w:rsidRPr="00B0644D" w:rsidRDefault="00693344"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（三）</w:t>
      </w:r>
      <w:r w:rsidR="00164835" w:rsidRPr="00B0644D">
        <w:rPr>
          <w:rFonts w:ascii="宋体" w:eastAsia="宋体" w:hAnsi="宋体" w:cs="Times New Roman"/>
          <w:sz w:val="28"/>
          <w:szCs w:val="28"/>
        </w:rPr>
        <w:t>社会效益</w:t>
      </w:r>
    </w:p>
    <w:p w14:paraId="3F772888" w14:textId="77777777" w:rsidR="00B0644D"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sz w:val="28"/>
          <w:szCs w:val="28"/>
        </w:rPr>
        <w:t>1、助力城镇化发展</w:t>
      </w:r>
    </w:p>
    <w:p w14:paraId="595AAFFD" w14:textId="77777777" w:rsidR="00B0644D"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本方案所处区域作为永春未来县城腹地拓展、西部乡镇进城的过渡缓冲</w:t>
      </w:r>
      <w:r w:rsidRPr="00B0644D">
        <w:rPr>
          <w:rFonts w:ascii="宋体" w:eastAsia="宋体" w:hAnsi="宋体" w:cs="Times New Roman" w:hint="eastAsia"/>
          <w:sz w:val="28"/>
          <w:szCs w:val="28"/>
        </w:rPr>
        <w:lastRenderedPageBreak/>
        <w:t>地带，对其的开发建设对蓬</w:t>
      </w:r>
      <w:proofErr w:type="gramStart"/>
      <w:r w:rsidRPr="00B0644D">
        <w:rPr>
          <w:rFonts w:ascii="宋体" w:eastAsia="宋体" w:hAnsi="宋体" w:cs="Times New Roman" w:hint="eastAsia"/>
          <w:sz w:val="28"/>
          <w:szCs w:val="28"/>
        </w:rPr>
        <w:t>壶镇扩大</w:t>
      </w:r>
      <w:proofErr w:type="gramEnd"/>
      <w:r w:rsidRPr="00B0644D">
        <w:rPr>
          <w:rFonts w:ascii="宋体" w:eastAsia="宋体" w:hAnsi="宋体" w:cs="Times New Roman" w:hint="eastAsia"/>
          <w:sz w:val="28"/>
          <w:szCs w:val="28"/>
        </w:rPr>
        <w:t>城镇规模、延长城镇产业</w:t>
      </w:r>
      <w:proofErr w:type="gramStart"/>
      <w:r w:rsidRPr="00B0644D">
        <w:rPr>
          <w:rFonts w:ascii="宋体" w:eastAsia="宋体" w:hAnsi="宋体" w:cs="Times New Roman" w:hint="eastAsia"/>
          <w:sz w:val="28"/>
          <w:szCs w:val="28"/>
        </w:rPr>
        <w:t>链具有</w:t>
      </w:r>
      <w:proofErr w:type="gramEnd"/>
      <w:r w:rsidRPr="00B0644D">
        <w:rPr>
          <w:rFonts w:ascii="宋体" w:eastAsia="宋体" w:hAnsi="宋体" w:cs="Times New Roman" w:hint="eastAsia"/>
          <w:sz w:val="28"/>
          <w:szCs w:val="28"/>
        </w:rPr>
        <w:t>重要推动作用，是实现以城带乡和推动社会主义市场经济建设的先导力量。</w:t>
      </w:r>
    </w:p>
    <w:p w14:paraId="071E5ACD" w14:textId="77777777" w:rsidR="00B0644D"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sz w:val="28"/>
          <w:szCs w:val="28"/>
        </w:rPr>
        <w:t>2、增加就业岗位</w:t>
      </w:r>
    </w:p>
    <w:p w14:paraId="5FE3D84C" w14:textId="77777777" w:rsidR="00B0644D"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本方案涉及的工业项目用地约</w:t>
      </w:r>
      <w:r w:rsidRPr="00B0644D">
        <w:rPr>
          <w:rFonts w:ascii="宋体" w:eastAsia="宋体" w:hAnsi="宋体" w:cs="Times New Roman"/>
          <w:sz w:val="28"/>
          <w:szCs w:val="28"/>
        </w:rPr>
        <w:t xml:space="preserve"> 1.5175公顷，按 100 人/公顷的经验值测算，预估产生约 150个就业机会。就业机会的增加缓解当地就业压力及转移剩余劳动力具有积极的作用。</w:t>
      </w:r>
    </w:p>
    <w:p w14:paraId="74DAD3FE" w14:textId="0ECCBFB9" w:rsidR="00693344" w:rsidRPr="00B0644D" w:rsidRDefault="00693344" w:rsidP="00B0644D">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（四）生态</w:t>
      </w:r>
      <w:r w:rsidRPr="00B0644D">
        <w:rPr>
          <w:rFonts w:ascii="宋体" w:eastAsia="宋体" w:hAnsi="宋体" w:cs="Times New Roman"/>
          <w:sz w:val="28"/>
          <w:szCs w:val="28"/>
        </w:rPr>
        <w:t>效益</w:t>
      </w:r>
    </w:p>
    <w:p w14:paraId="73D392B3" w14:textId="77777777" w:rsidR="00B0644D"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本方案所涉范围及周边无各类自然保护区和生态敏感区，主要发展智能制造等项目，所产生的各类污染较小，对周边环境不会产生不良影响。</w:t>
      </w:r>
    </w:p>
    <w:p w14:paraId="10B966EB" w14:textId="77777777" w:rsidR="00B0644D" w:rsidRPr="00B0644D" w:rsidRDefault="00B0644D" w:rsidP="00B0644D">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方案施工期内将加快建设步伐，缩短建设施工期。在施工中，采取完工一块，恢复一块的方式，及时回填土方并恢复植被，并妥善处置弃土、综合利用，防止水土流失造成水质污染，保护该区域的生态环境和自然景观。</w:t>
      </w:r>
    </w:p>
    <w:p w14:paraId="7344FF32" w14:textId="74342D43" w:rsidR="001C205A" w:rsidRPr="00B0644D" w:rsidRDefault="00590BC2" w:rsidP="00B0644D">
      <w:pPr>
        <w:rPr>
          <w:rFonts w:ascii="黑体" w:eastAsia="黑体" w:hAnsi="黑体" w:cs="Times New Roman"/>
          <w:sz w:val="28"/>
          <w:szCs w:val="28"/>
        </w:rPr>
      </w:pPr>
      <w:r w:rsidRPr="00B0644D">
        <w:rPr>
          <w:rFonts w:ascii="黑体" w:eastAsia="黑体" w:hAnsi="黑体" w:cs="Times New Roman" w:hint="eastAsia"/>
          <w:sz w:val="28"/>
          <w:szCs w:val="28"/>
        </w:rPr>
        <w:t>八、</w:t>
      </w:r>
      <w:r w:rsidR="001C205A" w:rsidRPr="00B0644D">
        <w:rPr>
          <w:rFonts w:ascii="黑体" w:eastAsia="黑体" w:hAnsi="黑体" w:cs="Times New Roman"/>
          <w:sz w:val="28"/>
          <w:szCs w:val="28"/>
        </w:rPr>
        <w:t>结论</w:t>
      </w:r>
    </w:p>
    <w:p w14:paraId="38FF1395" w14:textId="77777777" w:rsidR="0012154C" w:rsidRPr="00B0644D" w:rsidRDefault="0012154C" w:rsidP="00590BC2">
      <w:pPr>
        <w:ind w:firstLineChars="200" w:firstLine="560"/>
        <w:rPr>
          <w:rFonts w:ascii="宋体" w:eastAsia="宋体" w:hAnsi="宋体" w:cs="Times New Roman"/>
          <w:sz w:val="28"/>
          <w:szCs w:val="28"/>
        </w:rPr>
      </w:pPr>
      <w:r w:rsidRPr="00B0644D">
        <w:rPr>
          <w:rFonts w:ascii="宋体" w:eastAsia="宋体" w:hAnsi="宋体" w:cs="Times New Roman" w:hint="eastAsia"/>
          <w:sz w:val="28"/>
          <w:szCs w:val="28"/>
        </w:rPr>
        <w:t>本土地征收成片开发方案符合国民经济和社会发展规划、专项规划，在土地利用总体规划确定的城镇建设用地范围内，已纳入国民经济和社会发展年度计划，</w:t>
      </w:r>
      <w:proofErr w:type="gramStart"/>
      <w:r w:rsidRPr="00B0644D">
        <w:rPr>
          <w:rFonts w:ascii="宋体" w:eastAsia="宋体" w:hAnsi="宋体" w:cs="Times New Roman" w:hint="eastAsia"/>
          <w:sz w:val="28"/>
          <w:szCs w:val="28"/>
        </w:rPr>
        <w:t>符合部</w:t>
      </w:r>
      <w:proofErr w:type="gramEnd"/>
      <w:r w:rsidRPr="00B0644D">
        <w:rPr>
          <w:rFonts w:ascii="宋体" w:eastAsia="宋体" w:hAnsi="宋体" w:cs="Times New Roman" w:hint="eastAsia"/>
          <w:sz w:val="28"/>
          <w:szCs w:val="28"/>
        </w:rPr>
        <w:t>省规定的标准，做到了保护耕地、维护农民合法权益、节约集约用地、保护生态环境，能够促进经济社会可持续发展。</w:t>
      </w:r>
    </w:p>
    <w:p w14:paraId="2C9EFCB1" w14:textId="77777777" w:rsidR="00327A3F" w:rsidRPr="00590BC2" w:rsidRDefault="00327A3F" w:rsidP="00590BC2">
      <w:pPr>
        <w:widowControl/>
        <w:ind w:firstLineChars="200" w:firstLine="560"/>
        <w:jc w:val="left"/>
        <w:rPr>
          <w:rFonts w:ascii="宋体" w:eastAsia="宋体" w:hAnsi="宋体" w:cs="Times New Roman"/>
          <w:sz w:val="28"/>
          <w:szCs w:val="28"/>
        </w:rPr>
      </w:pPr>
      <w:r w:rsidRPr="00590BC2">
        <w:rPr>
          <w:rFonts w:ascii="宋体" w:eastAsia="宋体" w:hAnsi="宋体" w:cs="Times New Roman"/>
          <w:sz w:val="28"/>
          <w:szCs w:val="28"/>
        </w:rPr>
        <w:br w:type="page"/>
      </w:r>
    </w:p>
    <w:p w14:paraId="6A50E9AA" w14:textId="77777777" w:rsidR="00116AF4" w:rsidRDefault="00327A3F" w:rsidP="00327A3F">
      <w:pPr>
        <w:rPr>
          <w:rFonts w:ascii="Times New Roman" w:eastAsia="宋体" w:hAnsi="Times New Roman" w:cs="Times New Roman"/>
          <w:sz w:val="28"/>
          <w:szCs w:val="28"/>
        </w:rPr>
      </w:pPr>
      <w:r>
        <w:rPr>
          <w:rFonts w:ascii="Times New Roman" w:eastAsia="宋体" w:hAnsi="Times New Roman" w:cs="Times New Roman" w:hint="eastAsia"/>
          <w:sz w:val="28"/>
          <w:szCs w:val="28"/>
        </w:rPr>
        <w:lastRenderedPageBreak/>
        <w:t>附图</w:t>
      </w:r>
      <w:r>
        <w:rPr>
          <w:rFonts w:ascii="Times New Roman" w:eastAsia="宋体" w:hAnsi="Times New Roman" w:cs="Times New Roman" w:hint="eastAsia"/>
          <w:sz w:val="28"/>
          <w:szCs w:val="28"/>
        </w:rPr>
        <w:t>1</w:t>
      </w:r>
      <w:r>
        <w:rPr>
          <w:rFonts w:ascii="Times New Roman" w:eastAsia="宋体" w:hAnsi="Times New Roman" w:cs="Times New Roman" w:hint="eastAsia"/>
          <w:sz w:val="28"/>
          <w:szCs w:val="28"/>
        </w:rPr>
        <w:t>：位置示意图</w:t>
      </w:r>
    </w:p>
    <w:p w14:paraId="3D211705" w14:textId="77777777" w:rsidR="00280D77" w:rsidRDefault="00875730" w:rsidP="00875730">
      <w:pPr>
        <w:rPr>
          <w:rFonts w:ascii="Times New Roman" w:eastAsia="宋体" w:hAnsi="Times New Roman" w:cs="Times New Roman"/>
          <w:sz w:val="28"/>
          <w:szCs w:val="28"/>
        </w:rPr>
      </w:pPr>
      <w:r>
        <w:rPr>
          <w:rFonts w:ascii="Times New Roman" w:eastAsia="宋体" w:hAnsi="Times New Roman" w:cs="Times New Roman"/>
          <w:noProof/>
          <w:sz w:val="28"/>
          <w:szCs w:val="28"/>
        </w:rPr>
        <w:drawing>
          <wp:inline distT="0" distB="0" distL="0" distR="0" wp14:anchorId="397CE2C0" wp14:editId="2C418194">
            <wp:extent cx="5931690" cy="838938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31690" cy="8389389"/>
                    </a:xfrm>
                    <a:prstGeom prst="rect">
                      <a:avLst/>
                    </a:prstGeom>
                  </pic:spPr>
                </pic:pic>
              </a:graphicData>
            </a:graphic>
          </wp:inline>
        </w:drawing>
      </w:r>
    </w:p>
    <w:sectPr w:rsidR="00280D77" w:rsidSect="001C205A">
      <w:pgSz w:w="11906" w:h="16838"/>
      <w:pgMar w:top="1418" w:right="1134" w:bottom="1134"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A9F028" w14:textId="77777777" w:rsidR="00985FD8" w:rsidRDefault="00985FD8" w:rsidP="003464A5">
      <w:r>
        <w:separator/>
      </w:r>
    </w:p>
  </w:endnote>
  <w:endnote w:type="continuationSeparator" w:id="0">
    <w:p w14:paraId="4111EAB1" w14:textId="77777777" w:rsidR="00985FD8" w:rsidRDefault="00985FD8" w:rsidP="003464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E8FDD9" w14:textId="77777777" w:rsidR="00985FD8" w:rsidRDefault="00985FD8" w:rsidP="003464A5">
      <w:r>
        <w:separator/>
      </w:r>
    </w:p>
  </w:footnote>
  <w:footnote w:type="continuationSeparator" w:id="0">
    <w:p w14:paraId="07169A1B" w14:textId="77777777" w:rsidR="00985FD8" w:rsidRDefault="00985FD8" w:rsidP="003464A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52CDC"/>
    <w:multiLevelType w:val="hybridMultilevel"/>
    <w:tmpl w:val="5B182958"/>
    <w:lvl w:ilvl="0" w:tplc="8AE854D8">
      <w:start w:val="1"/>
      <w:numFmt w:val="japaneseCounting"/>
      <w:lvlText w:val="%1、"/>
      <w:lvlJc w:val="left"/>
      <w:pPr>
        <w:ind w:left="720" w:hanging="720"/>
      </w:pPr>
      <w:rPr>
        <w:rFonts w:hint="default"/>
      </w:rPr>
    </w:lvl>
    <w:lvl w:ilvl="1" w:tplc="04090017">
      <w:start w:val="1"/>
      <w:numFmt w:val="chineseCountingThousand"/>
      <w:lvlText w:val="(%2)"/>
      <w:lvlJc w:val="left"/>
      <w:pPr>
        <w:ind w:left="1245" w:hanging="825"/>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7DB1CA1"/>
    <w:multiLevelType w:val="hybridMultilevel"/>
    <w:tmpl w:val="CB9002EE"/>
    <w:lvl w:ilvl="0" w:tplc="E7BCC5DA">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349D23A1"/>
    <w:multiLevelType w:val="hybridMultilevel"/>
    <w:tmpl w:val="6F684608"/>
    <w:lvl w:ilvl="0" w:tplc="C4BCEE60">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3B335D8A"/>
    <w:multiLevelType w:val="hybridMultilevel"/>
    <w:tmpl w:val="DC1EF092"/>
    <w:lvl w:ilvl="0" w:tplc="232CBD90">
      <w:start w:val="1"/>
      <w:numFmt w:val="japaneseCounting"/>
      <w:lvlText w:val="(%1)"/>
      <w:lvlJc w:val="left"/>
      <w:pPr>
        <w:ind w:left="1265" w:hanging="705"/>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6"/>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D94EFE"/>
    <w:rsid w:val="0001728A"/>
    <w:rsid w:val="00086D4B"/>
    <w:rsid w:val="000C30AE"/>
    <w:rsid w:val="000C4748"/>
    <w:rsid w:val="000F49F3"/>
    <w:rsid w:val="001140E1"/>
    <w:rsid w:val="00116803"/>
    <w:rsid w:val="00116AF4"/>
    <w:rsid w:val="0012154C"/>
    <w:rsid w:val="00140C28"/>
    <w:rsid w:val="00164835"/>
    <w:rsid w:val="001C205A"/>
    <w:rsid w:val="001E2A49"/>
    <w:rsid w:val="001E2E4D"/>
    <w:rsid w:val="001E574F"/>
    <w:rsid w:val="00245CB7"/>
    <w:rsid w:val="00253C7F"/>
    <w:rsid w:val="00271ADB"/>
    <w:rsid w:val="00280D77"/>
    <w:rsid w:val="002C1388"/>
    <w:rsid w:val="002C5257"/>
    <w:rsid w:val="002D3E2A"/>
    <w:rsid w:val="002E3F15"/>
    <w:rsid w:val="00314052"/>
    <w:rsid w:val="00327A3F"/>
    <w:rsid w:val="00337CD3"/>
    <w:rsid w:val="003464A5"/>
    <w:rsid w:val="003A2795"/>
    <w:rsid w:val="003D2E9F"/>
    <w:rsid w:val="003F67A8"/>
    <w:rsid w:val="00434B4F"/>
    <w:rsid w:val="004411AB"/>
    <w:rsid w:val="004A13D3"/>
    <w:rsid w:val="0053506D"/>
    <w:rsid w:val="00547F8C"/>
    <w:rsid w:val="0057133C"/>
    <w:rsid w:val="00590BC2"/>
    <w:rsid w:val="005E171A"/>
    <w:rsid w:val="005E2963"/>
    <w:rsid w:val="00686E0A"/>
    <w:rsid w:val="006907BE"/>
    <w:rsid w:val="00693344"/>
    <w:rsid w:val="006B0DF4"/>
    <w:rsid w:val="006B74EE"/>
    <w:rsid w:val="00710E9A"/>
    <w:rsid w:val="007366D1"/>
    <w:rsid w:val="007649A7"/>
    <w:rsid w:val="00780EAD"/>
    <w:rsid w:val="00786CC0"/>
    <w:rsid w:val="007B473E"/>
    <w:rsid w:val="007C3811"/>
    <w:rsid w:val="00801F32"/>
    <w:rsid w:val="00830B29"/>
    <w:rsid w:val="00847A4C"/>
    <w:rsid w:val="00874806"/>
    <w:rsid w:val="00875730"/>
    <w:rsid w:val="00953B40"/>
    <w:rsid w:val="00966009"/>
    <w:rsid w:val="00974BB6"/>
    <w:rsid w:val="00985FD8"/>
    <w:rsid w:val="009D4240"/>
    <w:rsid w:val="009D4F8C"/>
    <w:rsid w:val="009E1B0F"/>
    <w:rsid w:val="00A1765F"/>
    <w:rsid w:val="00A256C0"/>
    <w:rsid w:val="00A620F5"/>
    <w:rsid w:val="00AE54E5"/>
    <w:rsid w:val="00B0644D"/>
    <w:rsid w:val="00B17A04"/>
    <w:rsid w:val="00B2715D"/>
    <w:rsid w:val="00B701BC"/>
    <w:rsid w:val="00B93A17"/>
    <w:rsid w:val="00BE669C"/>
    <w:rsid w:val="00D1518C"/>
    <w:rsid w:val="00D35701"/>
    <w:rsid w:val="00D567ED"/>
    <w:rsid w:val="00D94EFE"/>
    <w:rsid w:val="00DD346F"/>
    <w:rsid w:val="00E70AD3"/>
    <w:rsid w:val="00E8049A"/>
    <w:rsid w:val="00E833CE"/>
    <w:rsid w:val="00EA3B62"/>
    <w:rsid w:val="00EC7C72"/>
    <w:rsid w:val="00F41E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89C5A6"/>
  <w15:docId w15:val="{798D3E7B-99FA-4A11-98D8-2DDAA89A3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C205A"/>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C205A"/>
    <w:rPr>
      <w:sz w:val="18"/>
      <w:szCs w:val="18"/>
    </w:rPr>
  </w:style>
  <w:style w:type="character" w:customStyle="1" w:styleId="a4">
    <w:name w:val="批注框文本 字符"/>
    <w:basedOn w:val="a0"/>
    <w:link w:val="a3"/>
    <w:uiPriority w:val="99"/>
    <w:semiHidden/>
    <w:rsid w:val="001C205A"/>
    <w:rPr>
      <w:sz w:val="18"/>
      <w:szCs w:val="18"/>
    </w:rPr>
  </w:style>
  <w:style w:type="paragraph" w:styleId="a5">
    <w:name w:val="List Paragraph"/>
    <w:basedOn w:val="a"/>
    <w:uiPriority w:val="34"/>
    <w:qFormat/>
    <w:rsid w:val="001C205A"/>
    <w:pPr>
      <w:ind w:firstLineChars="200" w:firstLine="420"/>
    </w:pPr>
  </w:style>
  <w:style w:type="paragraph" w:styleId="a6">
    <w:name w:val="Document Map"/>
    <w:basedOn w:val="a"/>
    <w:link w:val="a7"/>
    <w:uiPriority w:val="99"/>
    <w:semiHidden/>
    <w:unhideWhenUsed/>
    <w:rsid w:val="000C30AE"/>
    <w:rPr>
      <w:rFonts w:ascii="宋体" w:eastAsia="宋体"/>
      <w:sz w:val="18"/>
      <w:szCs w:val="18"/>
    </w:rPr>
  </w:style>
  <w:style w:type="character" w:customStyle="1" w:styleId="a7">
    <w:name w:val="文档结构图 字符"/>
    <w:basedOn w:val="a0"/>
    <w:link w:val="a6"/>
    <w:uiPriority w:val="99"/>
    <w:semiHidden/>
    <w:rsid w:val="000C30AE"/>
    <w:rPr>
      <w:rFonts w:ascii="宋体" w:eastAsia="宋体"/>
      <w:sz w:val="18"/>
      <w:szCs w:val="18"/>
    </w:rPr>
  </w:style>
  <w:style w:type="paragraph" w:styleId="a8">
    <w:name w:val="header"/>
    <w:basedOn w:val="a"/>
    <w:link w:val="a9"/>
    <w:uiPriority w:val="99"/>
    <w:unhideWhenUsed/>
    <w:rsid w:val="003464A5"/>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3464A5"/>
    <w:rPr>
      <w:sz w:val="18"/>
      <w:szCs w:val="18"/>
    </w:rPr>
  </w:style>
  <w:style w:type="paragraph" w:styleId="aa">
    <w:name w:val="footer"/>
    <w:basedOn w:val="a"/>
    <w:link w:val="ab"/>
    <w:uiPriority w:val="99"/>
    <w:unhideWhenUsed/>
    <w:rsid w:val="003464A5"/>
    <w:pPr>
      <w:tabs>
        <w:tab w:val="center" w:pos="4153"/>
        <w:tab w:val="right" w:pos="8306"/>
      </w:tabs>
      <w:snapToGrid w:val="0"/>
      <w:jc w:val="left"/>
    </w:pPr>
    <w:rPr>
      <w:sz w:val="18"/>
      <w:szCs w:val="18"/>
    </w:rPr>
  </w:style>
  <w:style w:type="character" w:customStyle="1" w:styleId="ab">
    <w:name w:val="页脚 字符"/>
    <w:basedOn w:val="a0"/>
    <w:link w:val="aa"/>
    <w:uiPriority w:val="99"/>
    <w:rsid w:val="003464A5"/>
    <w:rPr>
      <w:sz w:val="18"/>
      <w:szCs w:val="18"/>
    </w:rPr>
  </w:style>
  <w:style w:type="table" w:styleId="ac">
    <w:name w:val="Table Grid"/>
    <w:basedOn w:val="a1"/>
    <w:uiPriority w:val="39"/>
    <w:rsid w:val="00280D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219619-635C-461D-8739-E6D7F65DB1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1303</TotalTime>
  <Pages>6</Pages>
  <Words>427</Words>
  <Characters>2434</Characters>
  <Application>Microsoft Office Word</Application>
  <DocSecurity>0</DocSecurity>
  <Lines>20</Lines>
  <Paragraphs>5</Paragraphs>
  <ScaleCrop>false</ScaleCrop>
  <Company/>
  <LinksUpToDate>false</LinksUpToDate>
  <CharactersWithSpaces>2856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微软用户</cp:lastModifiedBy>
  <cp:revision>61</cp:revision>
  <dcterms:created xsi:type="dcterms:W3CDTF">2021-03-04T01:09:00Z</dcterms:created>
  <dcterms:modified xsi:type="dcterms:W3CDTF">2021-06-30T08:07:00Z</dcterms:modified>
</cp:coreProperties>
</file>