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239F369" w14:textId="503E26AC" w:rsidR="005845A1" w:rsidRPr="005845A1" w:rsidRDefault="005845A1" w:rsidP="008B0EAE">
      <w:pPr>
        <w:widowControl/>
        <w:spacing w:line="360" w:lineRule="auto"/>
        <w:jc w:val="center"/>
        <w:rPr>
          <w:rFonts w:ascii="Times New Roman" w:eastAsia="黑体" w:hAnsi="Times New Roman" w:cs="Times New Roman" w:hint="eastAsia"/>
          <w:b/>
          <w:bCs/>
          <w:color w:val="000000"/>
          <w:kern w:val="0"/>
          <w:sz w:val="52"/>
          <w:szCs w:val="52"/>
        </w:rPr>
      </w:pPr>
      <w:r w:rsidRPr="005845A1">
        <w:rPr>
          <w:rFonts w:ascii="Times New Roman" w:eastAsia="黑体" w:hAnsi="Times New Roman" w:cs="Times New Roman" w:hint="eastAsia"/>
          <w:b/>
          <w:bCs/>
          <w:color w:val="000000"/>
          <w:kern w:val="0"/>
          <w:sz w:val="52"/>
          <w:szCs w:val="52"/>
        </w:rPr>
        <w:t>永春县石鼓镇南环路南塔岭隧道北侧地块土地征收成片开发方案</w:t>
      </w:r>
      <w:bookmarkStart w:id="0" w:name="_GoBack"/>
      <w:bookmarkEnd w:id="0"/>
    </w:p>
    <w:p w14:paraId="09820140" w14:textId="6A076AF1" w:rsidR="001C205A" w:rsidRPr="00116AF4" w:rsidRDefault="001C205A" w:rsidP="008B0EAE">
      <w:pPr>
        <w:widowControl/>
        <w:spacing w:line="360" w:lineRule="auto"/>
        <w:jc w:val="center"/>
        <w:rPr>
          <w:rFonts w:ascii="Times New Roman" w:eastAsia="黑体" w:hAnsi="Times New Roman" w:cs="Times New Roman"/>
          <w:b/>
          <w:bCs/>
          <w:color w:val="000000"/>
          <w:kern w:val="0"/>
          <w:sz w:val="52"/>
          <w:szCs w:val="52"/>
        </w:rPr>
      </w:pPr>
      <w:r w:rsidRPr="00116AF4">
        <w:rPr>
          <w:rFonts w:ascii="Times New Roman" w:eastAsia="黑体" w:hAnsi="Times New Roman" w:cs="Times New Roman"/>
          <w:b/>
          <w:bCs/>
          <w:color w:val="000000"/>
          <w:kern w:val="0"/>
          <w:sz w:val="52"/>
          <w:szCs w:val="52"/>
        </w:rPr>
        <w:t>（征求意见稿）</w:t>
      </w:r>
    </w:p>
    <w:p w14:paraId="5B76BAE8" w14:textId="1C7C9D03" w:rsidR="00E70AD3" w:rsidRPr="00116AF4" w:rsidRDefault="0056606B" w:rsidP="00FA5319">
      <w:pPr>
        <w:pStyle w:val="a5"/>
        <w:ind w:firstLineChars="0" w:firstLine="0"/>
        <w:rPr>
          <w:rFonts w:ascii="Times New Roman" w:eastAsia="黑体" w:hAnsi="Times New Roman" w:cs="Times New Roman"/>
          <w:sz w:val="30"/>
          <w:szCs w:val="30"/>
        </w:rPr>
      </w:pPr>
      <w:r>
        <w:rPr>
          <w:rFonts w:ascii="Times New Roman" w:eastAsia="黑体" w:hAnsi="Times New Roman" w:cs="Times New Roman" w:hint="eastAsia"/>
          <w:sz w:val="30"/>
          <w:szCs w:val="30"/>
        </w:rPr>
        <w:t>一、</w:t>
      </w:r>
      <w:r w:rsidR="001C205A" w:rsidRPr="00116AF4">
        <w:rPr>
          <w:rFonts w:ascii="Times New Roman" w:eastAsia="黑体" w:hAnsi="Times New Roman" w:cs="Times New Roman"/>
          <w:sz w:val="30"/>
          <w:szCs w:val="30"/>
        </w:rPr>
        <w:t>编制依据</w:t>
      </w:r>
    </w:p>
    <w:p w14:paraId="74ED3B22" w14:textId="5FAD41A3" w:rsidR="001C205A" w:rsidRPr="00116AF4" w:rsidRDefault="001C205A" w:rsidP="00FA5319">
      <w:pPr>
        <w:topLinePunct/>
        <w:ind w:firstLineChars="200" w:firstLine="560"/>
        <w:rPr>
          <w:rFonts w:ascii="Times New Roman" w:eastAsia="宋体" w:hAnsi="Times New Roman" w:cs="Times New Roman"/>
          <w:sz w:val="28"/>
          <w:szCs w:val="28"/>
        </w:rPr>
      </w:pPr>
      <w:r w:rsidRPr="00116AF4">
        <w:rPr>
          <w:rFonts w:ascii="Times New Roman" w:eastAsia="宋体" w:hAnsi="Times New Roman" w:cs="Times New Roman"/>
          <w:sz w:val="28"/>
          <w:szCs w:val="28"/>
        </w:rPr>
        <w:t>依据《中华人民共和国土地管理法》（</w:t>
      </w:r>
      <w:r w:rsidRPr="00116AF4">
        <w:rPr>
          <w:rFonts w:ascii="Times New Roman" w:eastAsia="宋体" w:hAnsi="Times New Roman" w:cs="Times New Roman"/>
          <w:sz w:val="28"/>
          <w:szCs w:val="28"/>
        </w:rPr>
        <w:t>2019</w:t>
      </w:r>
      <w:r w:rsidRPr="00116AF4">
        <w:rPr>
          <w:rFonts w:ascii="Times New Roman" w:eastAsia="宋体" w:hAnsi="Times New Roman" w:cs="Times New Roman"/>
          <w:sz w:val="28"/>
          <w:szCs w:val="28"/>
        </w:rPr>
        <w:t>年</w:t>
      </w:r>
      <w:r w:rsidR="00F67BC0">
        <w:rPr>
          <w:rFonts w:ascii="Times New Roman" w:eastAsia="宋体" w:hAnsi="Times New Roman" w:cs="Times New Roman" w:hint="eastAsia"/>
          <w:sz w:val="28"/>
          <w:szCs w:val="28"/>
        </w:rPr>
        <w:t>修订</w:t>
      </w:r>
      <w:r w:rsidRPr="00116AF4">
        <w:rPr>
          <w:rFonts w:ascii="Times New Roman" w:eastAsia="宋体" w:hAnsi="Times New Roman" w:cs="Times New Roman"/>
          <w:sz w:val="28"/>
          <w:szCs w:val="28"/>
        </w:rPr>
        <w:t>版）、</w:t>
      </w:r>
      <w:r w:rsidR="00F67BC0" w:rsidRPr="00F67BC0">
        <w:rPr>
          <w:rFonts w:ascii="Times New Roman" w:eastAsia="宋体" w:hAnsi="Times New Roman" w:cs="Times New Roman" w:hint="eastAsia"/>
          <w:sz w:val="28"/>
          <w:szCs w:val="28"/>
        </w:rPr>
        <w:t>《中华人民共和国城乡规划法》（</w:t>
      </w:r>
      <w:r w:rsidR="00F67BC0" w:rsidRPr="00F67BC0">
        <w:rPr>
          <w:rFonts w:ascii="Times New Roman" w:eastAsia="宋体" w:hAnsi="Times New Roman" w:cs="Times New Roman"/>
          <w:sz w:val="28"/>
          <w:szCs w:val="28"/>
        </w:rPr>
        <w:t>2019</w:t>
      </w:r>
      <w:r w:rsidR="00F67BC0" w:rsidRPr="00F67BC0">
        <w:rPr>
          <w:rFonts w:ascii="Times New Roman" w:eastAsia="宋体" w:hAnsi="Times New Roman" w:cs="Times New Roman"/>
          <w:sz w:val="28"/>
          <w:szCs w:val="28"/>
        </w:rPr>
        <w:t>年修订版）</w:t>
      </w:r>
      <w:r w:rsidR="00F67BC0">
        <w:rPr>
          <w:rFonts w:ascii="Times New Roman" w:eastAsia="宋体" w:hAnsi="Times New Roman" w:cs="Times New Roman" w:hint="eastAsia"/>
          <w:sz w:val="28"/>
          <w:szCs w:val="28"/>
        </w:rPr>
        <w:t>、</w:t>
      </w:r>
      <w:r w:rsidRPr="00116AF4">
        <w:rPr>
          <w:rFonts w:ascii="Times New Roman" w:eastAsia="宋体" w:hAnsi="Times New Roman" w:cs="Times New Roman"/>
          <w:sz w:val="28"/>
          <w:szCs w:val="28"/>
        </w:rPr>
        <w:t>《自然资源部关于印发</w:t>
      </w:r>
      <w:r w:rsidRPr="00116AF4">
        <w:rPr>
          <w:rFonts w:ascii="Times New Roman" w:eastAsia="宋体" w:hAnsi="Times New Roman" w:cs="Times New Roman"/>
          <w:sz w:val="28"/>
          <w:szCs w:val="28"/>
        </w:rPr>
        <w:t>&lt;</w:t>
      </w:r>
      <w:r w:rsidRPr="00116AF4">
        <w:rPr>
          <w:rFonts w:ascii="Times New Roman" w:eastAsia="宋体" w:hAnsi="Times New Roman" w:cs="Times New Roman"/>
          <w:sz w:val="28"/>
          <w:szCs w:val="28"/>
        </w:rPr>
        <w:t>土地征收成片开发标准（试行）</w:t>
      </w:r>
      <w:r w:rsidRPr="00116AF4">
        <w:rPr>
          <w:rFonts w:ascii="Times New Roman" w:eastAsia="宋体" w:hAnsi="Times New Roman" w:cs="Times New Roman"/>
          <w:sz w:val="28"/>
          <w:szCs w:val="28"/>
        </w:rPr>
        <w:t>&gt;</w:t>
      </w:r>
      <w:r w:rsidRPr="00116AF4">
        <w:rPr>
          <w:rFonts w:ascii="Times New Roman" w:eastAsia="宋体" w:hAnsi="Times New Roman" w:cs="Times New Roman"/>
          <w:sz w:val="28"/>
          <w:szCs w:val="28"/>
        </w:rPr>
        <w:t>的通知》（自然资</w:t>
      </w:r>
      <w:proofErr w:type="gramStart"/>
      <w:r w:rsidRPr="00116AF4">
        <w:rPr>
          <w:rFonts w:ascii="Times New Roman" w:eastAsia="宋体" w:hAnsi="Times New Roman" w:cs="Times New Roman"/>
          <w:sz w:val="28"/>
          <w:szCs w:val="28"/>
        </w:rPr>
        <w:t>规</w:t>
      </w:r>
      <w:proofErr w:type="gramEnd"/>
      <w:r w:rsidRPr="00116AF4">
        <w:rPr>
          <w:rFonts w:ascii="Times New Roman" w:eastAsia="宋体" w:hAnsi="Times New Roman" w:cs="Times New Roman"/>
          <w:sz w:val="28"/>
          <w:szCs w:val="28"/>
        </w:rPr>
        <w:t>〔</w:t>
      </w:r>
      <w:r w:rsidRPr="00116AF4">
        <w:rPr>
          <w:rFonts w:ascii="Times New Roman" w:eastAsia="宋体" w:hAnsi="Times New Roman" w:cs="Times New Roman"/>
          <w:sz w:val="28"/>
          <w:szCs w:val="28"/>
        </w:rPr>
        <w:t>2020</w:t>
      </w:r>
      <w:r w:rsidRPr="00116AF4">
        <w:rPr>
          <w:rFonts w:ascii="Times New Roman" w:eastAsia="宋体" w:hAnsi="Times New Roman" w:cs="Times New Roman"/>
          <w:sz w:val="28"/>
          <w:szCs w:val="28"/>
        </w:rPr>
        <w:t>〕</w:t>
      </w:r>
      <w:r w:rsidRPr="00116AF4">
        <w:rPr>
          <w:rFonts w:ascii="Times New Roman" w:eastAsia="宋体" w:hAnsi="Times New Roman" w:cs="Times New Roman"/>
          <w:sz w:val="28"/>
          <w:szCs w:val="28"/>
        </w:rPr>
        <w:t>5</w:t>
      </w:r>
      <w:r w:rsidRPr="00116AF4">
        <w:rPr>
          <w:rFonts w:ascii="Times New Roman" w:eastAsia="宋体" w:hAnsi="Times New Roman" w:cs="Times New Roman"/>
          <w:sz w:val="28"/>
          <w:szCs w:val="28"/>
        </w:rPr>
        <w:t>号）、《福建省自然资源厅关于印发</w:t>
      </w:r>
      <w:r w:rsidRPr="00116AF4">
        <w:rPr>
          <w:rFonts w:ascii="Times New Roman" w:eastAsia="宋体" w:hAnsi="Times New Roman" w:cs="Times New Roman"/>
          <w:sz w:val="28"/>
          <w:szCs w:val="28"/>
        </w:rPr>
        <w:t>&lt;</w:t>
      </w:r>
      <w:r w:rsidRPr="00116AF4">
        <w:rPr>
          <w:rFonts w:ascii="Times New Roman" w:eastAsia="宋体" w:hAnsi="Times New Roman" w:cs="Times New Roman"/>
          <w:sz w:val="28"/>
          <w:szCs w:val="28"/>
        </w:rPr>
        <w:t>福建省土地征收成片开发方案报批实施细则（试行）的通知</w:t>
      </w:r>
      <w:r w:rsidRPr="00116AF4">
        <w:rPr>
          <w:rFonts w:ascii="Times New Roman" w:eastAsia="宋体" w:hAnsi="Times New Roman" w:cs="Times New Roman"/>
          <w:sz w:val="28"/>
          <w:szCs w:val="28"/>
        </w:rPr>
        <w:t>&gt;</w:t>
      </w:r>
      <w:r w:rsidRPr="00116AF4">
        <w:rPr>
          <w:rFonts w:ascii="Times New Roman" w:eastAsia="宋体" w:hAnsi="Times New Roman" w:cs="Times New Roman"/>
          <w:sz w:val="28"/>
          <w:szCs w:val="28"/>
        </w:rPr>
        <w:t>》（</w:t>
      </w:r>
      <w:proofErr w:type="gramStart"/>
      <w:r w:rsidRPr="00116AF4">
        <w:rPr>
          <w:rFonts w:ascii="Times New Roman" w:eastAsia="宋体" w:hAnsi="Times New Roman" w:cs="Times New Roman"/>
          <w:sz w:val="28"/>
          <w:szCs w:val="28"/>
        </w:rPr>
        <w:t>闽自然资发</w:t>
      </w:r>
      <w:proofErr w:type="gramEnd"/>
      <w:r w:rsidRPr="00116AF4">
        <w:rPr>
          <w:rFonts w:ascii="Times New Roman" w:eastAsia="宋体" w:hAnsi="Times New Roman" w:cs="Times New Roman"/>
          <w:sz w:val="28"/>
          <w:szCs w:val="28"/>
        </w:rPr>
        <w:t>〔</w:t>
      </w:r>
      <w:r w:rsidRPr="00116AF4">
        <w:rPr>
          <w:rFonts w:ascii="Times New Roman" w:eastAsia="宋体" w:hAnsi="Times New Roman" w:cs="Times New Roman"/>
          <w:sz w:val="28"/>
          <w:szCs w:val="28"/>
        </w:rPr>
        <w:t>2021</w:t>
      </w:r>
      <w:r w:rsidRPr="00116AF4">
        <w:rPr>
          <w:rFonts w:ascii="Times New Roman" w:eastAsia="宋体" w:hAnsi="Times New Roman" w:cs="Times New Roman"/>
          <w:sz w:val="28"/>
          <w:szCs w:val="28"/>
        </w:rPr>
        <w:t>〕</w:t>
      </w:r>
      <w:r w:rsidRPr="00116AF4">
        <w:rPr>
          <w:rFonts w:ascii="Times New Roman" w:eastAsia="宋体" w:hAnsi="Times New Roman" w:cs="Times New Roman"/>
          <w:sz w:val="28"/>
          <w:szCs w:val="28"/>
        </w:rPr>
        <w:t>3</w:t>
      </w:r>
      <w:r w:rsidRPr="00116AF4">
        <w:rPr>
          <w:rFonts w:ascii="Times New Roman" w:eastAsia="宋体" w:hAnsi="Times New Roman" w:cs="Times New Roman"/>
          <w:sz w:val="28"/>
          <w:szCs w:val="28"/>
        </w:rPr>
        <w:t>号）、《福建省自然资源厅关于印发</w:t>
      </w:r>
      <w:r w:rsidRPr="00116AF4">
        <w:rPr>
          <w:rFonts w:ascii="Times New Roman" w:eastAsia="宋体" w:hAnsi="Times New Roman" w:cs="Times New Roman"/>
          <w:sz w:val="28"/>
          <w:szCs w:val="28"/>
        </w:rPr>
        <w:t>&lt;</w:t>
      </w:r>
      <w:r w:rsidRPr="00116AF4">
        <w:rPr>
          <w:rFonts w:ascii="Times New Roman" w:eastAsia="宋体" w:hAnsi="Times New Roman" w:cs="Times New Roman"/>
          <w:sz w:val="28"/>
          <w:szCs w:val="28"/>
        </w:rPr>
        <w:t>福建省土地征收成片开发方案编制参考指南（试行）的通知</w:t>
      </w:r>
      <w:r w:rsidRPr="00116AF4">
        <w:rPr>
          <w:rFonts w:ascii="Times New Roman" w:eastAsia="宋体" w:hAnsi="Times New Roman" w:cs="Times New Roman"/>
          <w:sz w:val="28"/>
          <w:szCs w:val="28"/>
        </w:rPr>
        <w:t>&gt;</w:t>
      </w:r>
      <w:r w:rsidRPr="00116AF4">
        <w:rPr>
          <w:rFonts w:ascii="Times New Roman" w:eastAsia="宋体" w:hAnsi="Times New Roman" w:cs="Times New Roman"/>
          <w:sz w:val="28"/>
          <w:szCs w:val="28"/>
        </w:rPr>
        <w:t>》（</w:t>
      </w:r>
      <w:proofErr w:type="gramStart"/>
      <w:r w:rsidRPr="00116AF4">
        <w:rPr>
          <w:rFonts w:ascii="Times New Roman" w:eastAsia="宋体" w:hAnsi="Times New Roman" w:cs="Times New Roman"/>
          <w:sz w:val="28"/>
          <w:szCs w:val="28"/>
        </w:rPr>
        <w:t>闽自然资发</w:t>
      </w:r>
      <w:proofErr w:type="gramEnd"/>
      <w:r w:rsidRPr="00116AF4">
        <w:rPr>
          <w:rFonts w:ascii="Times New Roman" w:eastAsia="宋体" w:hAnsi="Times New Roman" w:cs="Times New Roman"/>
          <w:sz w:val="28"/>
          <w:szCs w:val="28"/>
        </w:rPr>
        <w:t>〔</w:t>
      </w:r>
      <w:r w:rsidRPr="00116AF4">
        <w:rPr>
          <w:rFonts w:ascii="Times New Roman" w:eastAsia="宋体" w:hAnsi="Times New Roman" w:cs="Times New Roman"/>
          <w:sz w:val="28"/>
          <w:szCs w:val="28"/>
        </w:rPr>
        <w:t>2021</w:t>
      </w:r>
      <w:r w:rsidRPr="00116AF4">
        <w:rPr>
          <w:rFonts w:ascii="Times New Roman" w:eastAsia="宋体" w:hAnsi="Times New Roman" w:cs="Times New Roman"/>
          <w:sz w:val="28"/>
          <w:szCs w:val="28"/>
        </w:rPr>
        <w:t>〕</w:t>
      </w:r>
      <w:r w:rsidRPr="00116AF4">
        <w:rPr>
          <w:rFonts w:ascii="Times New Roman" w:eastAsia="宋体" w:hAnsi="Times New Roman" w:cs="Times New Roman"/>
          <w:sz w:val="28"/>
          <w:szCs w:val="28"/>
        </w:rPr>
        <w:t>6</w:t>
      </w:r>
      <w:r w:rsidRPr="00116AF4">
        <w:rPr>
          <w:rFonts w:ascii="Times New Roman" w:eastAsia="宋体" w:hAnsi="Times New Roman" w:cs="Times New Roman"/>
          <w:sz w:val="28"/>
          <w:szCs w:val="28"/>
        </w:rPr>
        <w:t>号）、《自然资源部办公厅关于印发</w:t>
      </w:r>
      <w:r w:rsidRPr="00116AF4">
        <w:rPr>
          <w:rFonts w:ascii="Times New Roman" w:eastAsia="宋体" w:hAnsi="Times New Roman" w:cs="Times New Roman"/>
          <w:sz w:val="28"/>
          <w:szCs w:val="28"/>
        </w:rPr>
        <w:t>&lt;</w:t>
      </w:r>
      <w:r w:rsidRPr="00116AF4">
        <w:rPr>
          <w:rFonts w:ascii="Times New Roman" w:eastAsia="宋体" w:hAnsi="Times New Roman" w:cs="Times New Roman"/>
          <w:sz w:val="28"/>
          <w:szCs w:val="28"/>
        </w:rPr>
        <w:t>国土空间调查、规划、用途管制用地用海分类指南（试行）</w:t>
      </w:r>
      <w:r w:rsidRPr="00116AF4">
        <w:rPr>
          <w:rFonts w:ascii="Times New Roman" w:eastAsia="宋体" w:hAnsi="Times New Roman" w:cs="Times New Roman"/>
          <w:sz w:val="28"/>
          <w:szCs w:val="28"/>
        </w:rPr>
        <w:t>&gt;</w:t>
      </w:r>
      <w:r w:rsidRPr="00116AF4">
        <w:rPr>
          <w:rFonts w:ascii="Times New Roman" w:eastAsia="宋体" w:hAnsi="Times New Roman" w:cs="Times New Roman"/>
          <w:sz w:val="28"/>
          <w:szCs w:val="28"/>
        </w:rPr>
        <w:t>》（自然资办发〔</w:t>
      </w:r>
      <w:r w:rsidRPr="00116AF4">
        <w:rPr>
          <w:rFonts w:ascii="Times New Roman" w:eastAsia="宋体" w:hAnsi="Times New Roman" w:cs="Times New Roman"/>
          <w:sz w:val="28"/>
          <w:szCs w:val="28"/>
        </w:rPr>
        <w:t>2020</w:t>
      </w:r>
      <w:r w:rsidRPr="00116AF4">
        <w:rPr>
          <w:rFonts w:ascii="Times New Roman" w:eastAsia="宋体" w:hAnsi="Times New Roman" w:cs="Times New Roman"/>
          <w:sz w:val="28"/>
          <w:szCs w:val="28"/>
        </w:rPr>
        <w:t>〕</w:t>
      </w:r>
      <w:r w:rsidRPr="00116AF4">
        <w:rPr>
          <w:rFonts w:ascii="Times New Roman" w:eastAsia="宋体" w:hAnsi="Times New Roman" w:cs="Times New Roman"/>
          <w:sz w:val="28"/>
          <w:szCs w:val="28"/>
        </w:rPr>
        <w:t>51</w:t>
      </w:r>
      <w:r w:rsidRPr="00116AF4">
        <w:rPr>
          <w:rFonts w:ascii="Times New Roman" w:eastAsia="宋体" w:hAnsi="Times New Roman" w:cs="Times New Roman"/>
          <w:sz w:val="28"/>
          <w:szCs w:val="28"/>
        </w:rPr>
        <w:t>号）、</w:t>
      </w:r>
      <w:r w:rsidR="00881748" w:rsidRPr="00B22D32">
        <w:rPr>
          <w:rFonts w:ascii="Times New Roman" w:eastAsia="宋体" w:hAnsi="Times New Roman" w:cs="Times New Roman"/>
          <w:sz w:val="28"/>
          <w:szCs w:val="28"/>
        </w:rPr>
        <w:t>《永春</w:t>
      </w:r>
      <w:r w:rsidR="00881748" w:rsidRPr="00B22D32">
        <w:rPr>
          <w:rFonts w:ascii="Times New Roman" w:eastAsia="宋体" w:hAnsi="Times New Roman" w:cs="Times New Roman" w:hint="eastAsia"/>
          <w:sz w:val="28"/>
          <w:szCs w:val="28"/>
        </w:rPr>
        <w:t>县城总体规划修编</w:t>
      </w:r>
      <w:r w:rsidR="00881748" w:rsidRPr="00B22D32">
        <w:rPr>
          <w:rFonts w:ascii="Times New Roman" w:eastAsia="宋体" w:hAnsi="Times New Roman" w:cs="Times New Roman"/>
          <w:sz w:val="28"/>
          <w:szCs w:val="28"/>
        </w:rPr>
        <w:t>（</w:t>
      </w:r>
      <w:r w:rsidR="00881748" w:rsidRPr="00B22D32">
        <w:rPr>
          <w:rFonts w:ascii="Times New Roman" w:eastAsia="宋体" w:hAnsi="Times New Roman" w:cs="Times New Roman"/>
          <w:sz w:val="28"/>
          <w:szCs w:val="28"/>
        </w:rPr>
        <w:t>2012-2030</w:t>
      </w:r>
      <w:r w:rsidR="00881748" w:rsidRPr="00B22D32">
        <w:rPr>
          <w:rFonts w:ascii="Times New Roman" w:eastAsia="宋体" w:hAnsi="Times New Roman" w:cs="Times New Roman"/>
          <w:sz w:val="28"/>
          <w:szCs w:val="28"/>
        </w:rPr>
        <w:t>年）》</w:t>
      </w:r>
      <w:r w:rsidR="00881748" w:rsidRPr="00B22D32">
        <w:rPr>
          <w:rFonts w:ascii="Times New Roman" w:eastAsia="宋体" w:hAnsi="Times New Roman" w:cs="Times New Roman" w:hint="eastAsia"/>
          <w:sz w:val="28"/>
          <w:szCs w:val="28"/>
        </w:rPr>
        <w:t>、</w:t>
      </w:r>
      <w:r w:rsidR="00875730" w:rsidRPr="00875730">
        <w:rPr>
          <w:rFonts w:ascii="Times New Roman" w:eastAsia="宋体" w:hAnsi="Times New Roman" w:cs="Times New Roman"/>
          <w:sz w:val="28"/>
          <w:szCs w:val="28"/>
        </w:rPr>
        <w:t>《永春县</w:t>
      </w:r>
      <w:r w:rsidR="00E833CE">
        <w:rPr>
          <w:rFonts w:ascii="Times New Roman" w:eastAsia="宋体" w:hAnsi="Times New Roman" w:cs="Times New Roman" w:hint="eastAsia"/>
          <w:sz w:val="28"/>
          <w:szCs w:val="28"/>
        </w:rPr>
        <w:t>石鼓镇</w:t>
      </w:r>
      <w:r w:rsidR="00875730" w:rsidRPr="00875730">
        <w:rPr>
          <w:rFonts w:ascii="Times New Roman" w:eastAsia="宋体" w:hAnsi="Times New Roman" w:cs="Times New Roman"/>
          <w:sz w:val="28"/>
          <w:szCs w:val="28"/>
        </w:rPr>
        <w:t>土地利用总体规划（</w:t>
      </w:r>
      <w:r w:rsidR="00875730" w:rsidRPr="00875730">
        <w:rPr>
          <w:rFonts w:ascii="Times New Roman" w:eastAsia="宋体" w:hAnsi="Times New Roman" w:cs="Times New Roman"/>
          <w:sz w:val="28"/>
          <w:szCs w:val="28"/>
        </w:rPr>
        <w:t>2006-2020</w:t>
      </w:r>
      <w:r w:rsidR="00875730" w:rsidRPr="00875730">
        <w:rPr>
          <w:rFonts w:ascii="Times New Roman" w:eastAsia="宋体" w:hAnsi="Times New Roman" w:cs="Times New Roman"/>
          <w:sz w:val="28"/>
          <w:szCs w:val="28"/>
        </w:rPr>
        <w:t>年）》</w:t>
      </w:r>
      <w:r w:rsidRPr="00116AF4">
        <w:rPr>
          <w:rFonts w:ascii="Times New Roman" w:eastAsia="宋体" w:hAnsi="Times New Roman" w:cs="Times New Roman"/>
          <w:sz w:val="28"/>
          <w:szCs w:val="28"/>
        </w:rPr>
        <w:t>、《永春县国民经济和社会发展第十四个五年规划和二〇三五年远景目标纲要》</w:t>
      </w:r>
      <w:r w:rsidR="00116AF4" w:rsidRPr="00116AF4">
        <w:rPr>
          <w:rFonts w:ascii="Times New Roman" w:eastAsia="宋体" w:hAnsi="Times New Roman" w:cs="Times New Roman"/>
          <w:sz w:val="28"/>
          <w:szCs w:val="28"/>
        </w:rPr>
        <w:t>等，编制《</w:t>
      </w:r>
      <w:r w:rsidR="00875730" w:rsidRPr="00875730">
        <w:rPr>
          <w:rFonts w:ascii="Times New Roman" w:eastAsia="宋体" w:hAnsi="Times New Roman" w:cs="Times New Roman" w:hint="eastAsia"/>
          <w:sz w:val="28"/>
          <w:szCs w:val="28"/>
        </w:rPr>
        <w:t>永春县</w:t>
      </w:r>
      <w:r w:rsidR="00E833CE">
        <w:rPr>
          <w:rFonts w:ascii="Times New Roman" w:eastAsia="宋体" w:hAnsi="Times New Roman" w:cs="Times New Roman" w:hint="eastAsia"/>
          <w:sz w:val="28"/>
          <w:szCs w:val="28"/>
        </w:rPr>
        <w:t>石鼓镇南环路加油站</w:t>
      </w:r>
      <w:r w:rsidR="00875730" w:rsidRPr="00875730">
        <w:rPr>
          <w:rFonts w:ascii="Times New Roman" w:eastAsia="宋体" w:hAnsi="Times New Roman" w:cs="Times New Roman" w:hint="eastAsia"/>
          <w:sz w:val="28"/>
          <w:szCs w:val="28"/>
        </w:rPr>
        <w:t>土地征收成片开发方案</w:t>
      </w:r>
      <w:r w:rsidR="00116AF4" w:rsidRPr="00116AF4">
        <w:rPr>
          <w:rFonts w:ascii="Times New Roman" w:eastAsia="宋体" w:hAnsi="Times New Roman" w:cs="Times New Roman"/>
          <w:sz w:val="28"/>
          <w:szCs w:val="28"/>
        </w:rPr>
        <w:t>》。</w:t>
      </w:r>
    </w:p>
    <w:p w14:paraId="4C0273EC" w14:textId="748B0365" w:rsidR="001C205A" w:rsidRPr="00116AF4" w:rsidRDefault="0056606B" w:rsidP="00FA5319">
      <w:pPr>
        <w:pStyle w:val="a5"/>
        <w:ind w:firstLineChars="0" w:firstLine="0"/>
        <w:rPr>
          <w:rFonts w:ascii="Times New Roman" w:eastAsia="黑体" w:hAnsi="Times New Roman" w:cs="Times New Roman"/>
          <w:sz w:val="30"/>
          <w:szCs w:val="30"/>
        </w:rPr>
      </w:pPr>
      <w:r>
        <w:rPr>
          <w:rFonts w:ascii="Times New Roman" w:eastAsia="黑体" w:hAnsi="Times New Roman" w:cs="Times New Roman" w:hint="eastAsia"/>
          <w:sz w:val="30"/>
          <w:szCs w:val="30"/>
        </w:rPr>
        <w:t>二、</w:t>
      </w:r>
      <w:r w:rsidR="001C205A" w:rsidRPr="00116AF4">
        <w:rPr>
          <w:rFonts w:ascii="Times New Roman" w:eastAsia="黑体" w:hAnsi="Times New Roman" w:cs="Times New Roman"/>
          <w:sz w:val="30"/>
          <w:szCs w:val="30"/>
        </w:rPr>
        <w:t>基本情况</w:t>
      </w:r>
    </w:p>
    <w:p w14:paraId="15260638" w14:textId="5C5627E9" w:rsidR="00164835" w:rsidRPr="00116AF4" w:rsidRDefault="00847A4C" w:rsidP="00FA5319">
      <w:pPr>
        <w:ind w:firstLineChars="200" w:firstLine="560"/>
        <w:rPr>
          <w:rFonts w:ascii="Times New Roman" w:eastAsia="宋体" w:hAnsi="Times New Roman" w:cs="Times New Roman"/>
          <w:sz w:val="28"/>
          <w:szCs w:val="28"/>
        </w:rPr>
      </w:pPr>
      <w:r w:rsidRPr="00966009">
        <w:rPr>
          <w:rFonts w:ascii="宋体" w:eastAsia="宋体" w:hAnsi="宋体" w:cs="Times New Roman" w:hint="eastAsia"/>
          <w:sz w:val="28"/>
          <w:szCs w:val="28"/>
        </w:rPr>
        <w:t>本方案地处永春县石鼓镇桃联社区，位于永春县主城区西南，</w:t>
      </w:r>
      <w:r w:rsidRPr="00966009">
        <w:rPr>
          <w:rFonts w:ascii="宋体" w:eastAsia="宋体" w:hAnsi="宋体" w:cs="Times New Roman"/>
          <w:sz w:val="28"/>
          <w:szCs w:val="28"/>
        </w:rPr>
        <w:t>距永春县城中心约4公里，</w:t>
      </w:r>
      <w:r w:rsidR="00875730" w:rsidRPr="00966009">
        <w:rPr>
          <w:rFonts w:ascii="宋体" w:eastAsia="宋体" w:hAnsi="宋体" w:cs="Times New Roman"/>
          <w:sz w:val="28"/>
          <w:szCs w:val="28"/>
        </w:rPr>
        <w:t>区域位置十分优越。</w:t>
      </w:r>
      <w:r w:rsidR="00966009" w:rsidRPr="00966009">
        <w:rPr>
          <w:rFonts w:ascii="宋体" w:eastAsia="宋体" w:hAnsi="宋体" w:cs="Times New Roman" w:hint="eastAsia"/>
          <w:sz w:val="28"/>
          <w:szCs w:val="28"/>
        </w:rPr>
        <w:t>方案所在位置距永春客运站约</w:t>
      </w:r>
      <w:r w:rsidR="00966009" w:rsidRPr="00966009">
        <w:rPr>
          <w:rFonts w:ascii="宋体" w:eastAsia="宋体" w:hAnsi="宋体" w:cs="Times New Roman"/>
          <w:sz w:val="28"/>
          <w:szCs w:val="28"/>
        </w:rPr>
        <w:t>3公里，距泉南高速入口约5.5公里，</w:t>
      </w:r>
      <w:proofErr w:type="gramStart"/>
      <w:r w:rsidR="00966009" w:rsidRPr="00966009">
        <w:rPr>
          <w:rFonts w:ascii="宋体" w:eastAsia="宋体" w:hAnsi="宋体" w:cs="Times New Roman"/>
          <w:sz w:val="28"/>
          <w:szCs w:val="28"/>
        </w:rPr>
        <w:t>秀永高速</w:t>
      </w:r>
      <w:proofErr w:type="gramEnd"/>
      <w:r w:rsidR="00966009" w:rsidRPr="00966009">
        <w:rPr>
          <w:rFonts w:ascii="宋体" w:eastAsia="宋体" w:hAnsi="宋体" w:cs="Times New Roman"/>
          <w:sz w:val="28"/>
          <w:szCs w:val="28"/>
        </w:rPr>
        <w:t>入口约9公里，</w:t>
      </w:r>
      <w:r w:rsidR="00966009" w:rsidRPr="00966009">
        <w:rPr>
          <w:rFonts w:ascii="宋体" w:eastAsia="宋体" w:hAnsi="宋体" w:cs="Times New Roman" w:hint="eastAsia"/>
          <w:sz w:val="28"/>
          <w:szCs w:val="28"/>
        </w:rPr>
        <w:t>对外交通主要依托永春县南环路（</w:t>
      </w:r>
      <w:r w:rsidR="00966009" w:rsidRPr="00966009">
        <w:rPr>
          <w:rFonts w:ascii="宋体" w:eastAsia="宋体" w:hAnsi="宋体" w:cs="Times New Roman"/>
          <w:sz w:val="28"/>
          <w:szCs w:val="28"/>
        </w:rPr>
        <w:t>G355）</w:t>
      </w:r>
      <w:r w:rsidR="00966009">
        <w:rPr>
          <w:rFonts w:ascii="宋体" w:eastAsia="宋体" w:hAnsi="宋体" w:cs="Times New Roman" w:hint="eastAsia"/>
          <w:sz w:val="28"/>
          <w:szCs w:val="28"/>
        </w:rPr>
        <w:t>，</w:t>
      </w:r>
      <w:r w:rsidR="00966009" w:rsidRPr="00966009">
        <w:rPr>
          <w:rFonts w:ascii="宋体" w:eastAsia="宋体" w:hAnsi="宋体" w:cs="Times New Roman"/>
          <w:sz w:val="28"/>
          <w:szCs w:val="28"/>
        </w:rPr>
        <w:t>对外交通十分便利</w:t>
      </w:r>
      <w:r w:rsidR="00EA3B62" w:rsidRPr="00966009">
        <w:rPr>
          <w:rFonts w:ascii="宋体" w:eastAsia="宋体" w:hAnsi="宋体" w:cs="Times New Roman" w:hint="eastAsia"/>
          <w:sz w:val="28"/>
          <w:szCs w:val="28"/>
        </w:rPr>
        <w:t>（附图1）</w:t>
      </w:r>
      <w:r w:rsidR="00875730" w:rsidRPr="00875730">
        <w:rPr>
          <w:rFonts w:ascii="Times New Roman" w:eastAsia="宋体" w:hAnsi="Times New Roman" w:cs="Times New Roman"/>
          <w:sz w:val="28"/>
          <w:szCs w:val="28"/>
        </w:rPr>
        <w:t>。</w:t>
      </w:r>
    </w:p>
    <w:p w14:paraId="6EC951E1" w14:textId="20DE3605" w:rsidR="00875730" w:rsidRDefault="00875730" w:rsidP="00FA5319">
      <w:pPr>
        <w:ind w:firstLineChars="200" w:firstLine="560"/>
        <w:rPr>
          <w:rFonts w:ascii="Times New Roman" w:eastAsia="宋体" w:hAnsi="Times New Roman" w:cs="Times New Roman"/>
          <w:sz w:val="28"/>
          <w:szCs w:val="28"/>
        </w:rPr>
      </w:pPr>
      <w:r w:rsidRPr="00875730">
        <w:rPr>
          <w:rFonts w:ascii="Times New Roman" w:eastAsia="宋体" w:hAnsi="Times New Roman" w:cs="Times New Roman" w:hint="eastAsia"/>
          <w:sz w:val="28"/>
          <w:szCs w:val="28"/>
        </w:rPr>
        <w:t>本方案涉及</w:t>
      </w:r>
      <w:r w:rsidR="009D4240" w:rsidRPr="009D4240">
        <w:rPr>
          <w:rFonts w:ascii="Times New Roman" w:eastAsia="宋体" w:hAnsi="Times New Roman" w:cs="Times New Roman" w:hint="eastAsia"/>
          <w:sz w:val="28"/>
          <w:szCs w:val="28"/>
        </w:rPr>
        <w:t>永春县石鼓镇桃联社区</w:t>
      </w:r>
      <w:r w:rsidRPr="00875730">
        <w:rPr>
          <w:rFonts w:ascii="Times New Roman" w:eastAsia="宋体" w:hAnsi="Times New Roman" w:cs="Times New Roman" w:hint="eastAsia"/>
          <w:sz w:val="28"/>
          <w:szCs w:val="28"/>
        </w:rPr>
        <w:t>，共</w:t>
      </w:r>
      <w:r w:rsidRPr="00875730">
        <w:rPr>
          <w:rFonts w:ascii="Times New Roman" w:eastAsia="宋体" w:hAnsi="Times New Roman" w:cs="Times New Roman"/>
          <w:sz w:val="28"/>
          <w:szCs w:val="28"/>
        </w:rPr>
        <w:t>1</w:t>
      </w:r>
      <w:r w:rsidRPr="00875730">
        <w:rPr>
          <w:rFonts w:ascii="Times New Roman" w:eastAsia="宋体" w:hAnsi="Times New Roman" w:cs="Times New Roman"/>
          <w:sz w:val="28"/>
          <w:szCs w:val="28"/>
        </w:rPr>
        <w:t>个镇</w:t>
      </w:r>
      <w:r w:rsidRPr="00875730">
        <w:rPr>
          <w:rFonts w:ascii="Times New Roman" w:eastAsia="宋体" w:hAnsi="Times New Roman" w:cs="Times New Roman"/>
          <w:sz w:val="28"/>
          <w:szCs w:val="28"/>
        </w:rPr>
        <w:t>1</w:t>
      </w:r>
      <w:r w:rsidRPr="00875730">
        <w:rPr>
          <w:rFonts w:ascii="Times New Roman" w:eastAsia="宋体" w:hAnsi="Times New Roman" w:cs="Times New Roman"/>
          <w:sz w:val="28"/>
          <w:szCs w:val="28"/>
        </w:rPr>
        <w:t>个</w:t>
      </w:r>
      <w:r w:rsidR="009D4240">
        <w:rPr>
          <w:rFonts w:ascii="Times New Roman" w:eastAsia="宋体" w:hAnsi="Times New Roman" w:cs="Times New Roman" w:hint="eastAsia"/>
          <w:sz w:val="28"/>
          <w:szCs w:val="28"/>
        </w:rPr>
        <w:t>社区</w:t>
      </w:r>
      <w:r w:rsidRPr="00875730">
        <w:rPr>
          <w:rFonts w:ascii="Times New Roman" w:eastAsia="宋体" w:hAnsi="Times New Roman" w:cs="Times New Roman"/>
          <w:sz w:val="28"/>
          <w:szCs w:val="28"/>
        </w:rPr>
        <w:t>；涉及</w:t>
      </w:r>
      <w:r w:rsidRPr="00875730">
        <w:rPr>
          <w:rFonts w:ascii="Times New Roman" w:eastAsia="宋体" w:hAnsi="Times New Roman" w:cs="Times New Roman"/>
          <w:sz w:val="28"/>
          <w:szCs w:val="28"/>
        </w:rPr>
        <w:t>1</w:t>
      </w:r>
      <w:r w:rsidRPr="00875730">
        <w:rPr>
          <w:rFonts w:ascii="Times New Roman" w:eastAsia="宋体" w:hAnsi="Times New Roman" w:cs="Times New Roman"/>
          <w:sz w:val="28"/>
          <w:szCs w:val="28"/>
        </w:rPr>
        <w:t>个国有</w:t>
      </w:r>
      <w:r w:rsidRPr="00875730">
        <w:rPr>
          <w:rFonts w:ascii="Times New Roman" w:eastAsia="宋体" w:hAnsi="Times New Roman" w:cs="Times New Roman"/>
          <w:sz w:val="28"/>
          <w:szCs w:val="28"/>
        </w:rPr>
        <w:lastRenderedPageBreak/>
        <w:t>单位；不涉及省级和国家级开发区。</w:t>
      </w:r>
      <w:r w:rsidRPr="00875730">
        <w:rPr>
          <w:rFonts w:ascii="Times New Roman" w:eastAsia="宋体" w:hAnsi="Times New Roman" w:cs="Times New Roman" w:hint="eastAsia"/>
          <w:sz w:val="28"/>
          <w:szCs w:val="28"/>
        </w:rPr>
        <w:t>根据实地勘测调查，本方案成片开发范围总面积</w:t>
      </w:r>
      <w:r w:rsidR="00966009">
        <w:rPr>
          <w:rFonts w:ascii="Times New Roman" w:eastAsia="宋体" w:hAnsi="Times New Roman" w:cs="Times New Roman"/>
          <w:sz w:val="28"/>
          <w:szCs w:val="28"/>
        </w:rPr>
        <w:t>4.0268</w:t>
      </w:r>
      <w:r w:rsidRPr="00875730">
        <w:rPr>
          <w:rFonts w:ascii="Times New Roman" w:eastAsia="宋体" w:hAnsi="Times New Roman" w:cs="Times New Roman"/>
          <w:sz w:val="28"/>
          <w:szCs w:val="28"/>
        </w:rPr>
        <w:t>公顷。其中：农用地</w:t>
      </w:r>
      <w:r w:rsidR="00966009">
        <w:rPr>
          <w:rFonts w:ascii="Times New Roman" w:eastAsia="宋体" w:hAnsi="Times New Roman" w:cs="Times New Roman"/>
          <w:sz w:val="28"/>
          <w:szCs w:val="28"/>
        </w:rPr>
        <w:t>0.2539</w:t>
      </w:r>
      <w:r w:rsidRPr="00875730">
        <w:rPr>
          <w:rFonts w:ascii="Times New Roman" w:eastAsia="宋体" w:hAnsi="Times New Roman" w:cs="Times New Roman"/>
          <w:sz w:val="28"/>
          <w:szCs w:val="28"/>
        </w:rPr>
        <w:t>公顷（其中：</w:t>
      </w:r>
      <w:r w:rsidR="00966009" w:rsidRPr="00966009">
        <w:rPr>
          <w:rFonts w:ascii="Times New Roman" w:eastAsia="宋体" w:hAnsi="Times New Roman" w:cs="Times New Roman" w:hint="eastAsia"/>
          <w:sz w:val="28"/>
          <w:szCs w:val="28"/>
        </w:rPr>
        <w:t>林地</w:t>
      </w:r>
      <w:r w:rsidR="00966009" w:rsidRPr="00966009">
        <w:rPr>
          <w:rFonts w:ascii="Times New Roman" w:eastAsia="宋体" w:hAnsi="Times New Roman" w:cs="Times New Roman"/>
          <w:sz w:val="28"/>
          <w:szCs w:val="28"/>
        </w:rPr>
        <w:t>0.2427</w:t>
      </w:r>
      <w:r w:rsidR="00966009" w:rsidRPr="00966009">
        <w:rPr>
          <w:rFonts w:ascii="Times New Roman" w:eastAsia="宋体" w:hAnsi="Times New Roman" w:cs="Times New Roman"/>
          <w:sz w:val="28"/>
          <w:szCs w:val="28"/>
        </w:rPr>
        <w:t>公顷，园地</w:t>
      </w:r>
      <w:r w:rsidR="00966009" w:rsidRPr="00966009">
        <w:rPr>
          <w:rFonts w:ascii="Times New Roman" w:eastAsia="宋体" w:hAnsi="Times New Roman" w:cs="Times New Roman"/>
          <w:sz w:val="28"/>
          <w:szCs w:val="28"/>
        </w:rPr>
        <w:t>0.0112</w:t>
      </w:r>
      <w:r w:rsidR="00966009" w:rsidRPr="00966009">
        <w:rPr>
          <w:rFonts w:ascii="Times New Roman" w:eastAsia="宋体" w:hAnsi="Times New Roman" w:cs="Times New Roman"/>
          <w:sz w:val="28"/>
          <w:szCs w:val="28"/>
        </w:rPr>
        <w:t>公顷</w:t>
      </w:r>
      <w:r w:rsidRPr="00875730">
        <w:rPr>
          <w:rFonts w:ascii="Times New Roman" w:eastAsia="宋体" w:hAnsi="Times New Roman" w:cs="Times New Roman"/>
          <w:sz w:val="28"/>
          <w:szCs w:val="28"/>
        </w:rPr>
        <w:t>），建设用地</w:t>
      </w:r>
      <w:r w:rsidR="00966009">
        <w:rPr>
          <w:rFonts w:ascii="Times New Roman" w:eastAsia="宋体" w:hAnsi="Times New Roman" w:cs="Times New Roman"/>
          <w:sz w:val="28"/>
          <w:szCs w:val="28"/>
        </w:rPr>
        <w:t>3.7729</w:t>
      </w:r>
      <w:r w:rsidRPr="00875730">
        <w:rPr>
          <w:rFonts w:ascii="Times New Roman" w:eastAsia="宋体" w:hAnsi="Times New Roman" w:cs="Times New Roman"/>
          <w:sz w:val="28"/>
          <w:szCs w:val="28"/>
        </w:rPr>
        <w:t>公顷</w:t>
      </w:r>
      <w:r w:rsidR="00966009">
        <w:rPr>
          <w:rFonts w:ascii="Times New Roman" w:eastAsia="宋体" w:hAnsi="Times New Roman" w:cs="Times New Roman" w:hint="eastAsia"/>
          <w:sz w:val="28"/>
          <w:szCs w:val="28"/>
        </w:rPr>
        <w:t>。</w:t>
      </w:r>
    </w:p>
    <w:p w14:paraId="3C572624" w14:textId="26160690" w:rsidR="001C205A" w:rsidRPr="00116AF4" w:rsidRDefault="0056606B" w:rsidP="00FA5319">
      <w:pPr>
        <w:pStyle w:val="a5"/>
        <w:ind w:firstLineChars="0" w:firstLine="0"/>
        <w:rPr>
          <w:rFonts w:ascii="Times New Roman" w:eastAsia="黑体" w:hAnsi="Times New Roman" w:cs="Times New Roman"/>
          <w:sz w:val="30"/>
          <w:szCs w:val="30"/>
        </w:rPr>
      </w:pPr>
      <w:r>
        <w:rPr>
          <w:rFonts w:ascii="Times New Roman" w:eastAsia="黑体" w:hAnsi="Times New Roman" w:cs="Times New Roman" w:hint="eastAsia"/>
          <w:sz w:val="30"/>
          <w:szCs w:val="30"/>
        </w:rPr>
        <w:t>三、</w:t>
      </w:r>
      <w:r w:rsidR="001C205A" w:rsidRPr="00116AF4">
        <w:rPr>
          <w:rFonts w:ascii="Times New Roman" w:eastAsia="黑体" w:hAnsi="Times New Roman" w:cs="Times New Roman"/>
          <w:sz w:val="30"/>
          <w:szCs w:val="30"/>
        </w:rPr>
        <w:t>必要性分析</w:t>
      </w:r>
    </w:p>
    <w:p w14:paraId="71E9E3BC" w14:textId="56DC7ED9" w:rsidR="00DA2434" w:rsidRPr="00DA2434" w:rsidRDefault="00DA2434" w:rsidP="00FA5319">
      <w:pPr>
        <w:ind w:firstLineChars="200"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（一）</w:t>
      </w:r>
      <w:r w:rsidRPr="00DA2434">
        <w:rPr>
          <w:rFonts w:ascii="Times New Roman" w:eastAsia="宋体" w:hAnsi="Times New Roman" w:cs="Times New Roman"/>
          <w:sz w:val="28"/>
          <w:szCs w:val="28"/>
        </w:rPr>
        <w:t>满足交通运输发展的需要</w:t>
      </w:r>
    </w:p>
    <w:p w14:paraId="34D293C4" w14:textId="77777777" w:rsidR="00DA2434" w:rsidRPr="00DA2434" w:rsidRDefault="00DA2434" w:rsidP="00FA5319">
      <w:pPr>
        <w:ind w:firstLineChars="200" w:firstLine="560"/>
        <w:rPr>
          <w:rFonts w:ascii="Times New Roman" w:eastAsia="宋体" w:hAnsi="Times New Roman" w:cs="Times New Roman"/>
          <w:sz w:val="28"/>
          <w:szCs w:val="28"/>
        </w:rPr>
      </w:pPr>
      <w:r w:rsidRPr="00DA2434">
        <w:rPr>
          <w:rFonts w:ascii="Times New Roman" w:eastAsia="宋体" w:hAnsi="Times New Roman" w:cs="Times New Roman" w:hint="eastAsia"/>
          <w:sz w:val="28"/>
          <w:szCs w:val="28"/>
        </w:rPr>
        <w:t>建设配套服务齐全、选址布局合理、油品质</w:t>
      </w:r>
      <w:proofErr w:type="gramStart"/>
      <w:r w:rsidRPr="00DA2434">
        <w:rPr>
          <w:rFonts w:ascii="Times New Roman" w:eastAsia="宋体" w:hAnsi="Times New Roman" w:cs="Times New Roman" w:hint="eastAsia"/>
          <w:sz w:val="28"/>
          <w:szCs w:val="28"/>
        </w:rPr>
        <w:t>量安全</w:t>
      </w:r>
      <w:proofErr w:type="gramEnd"/>
      <w:r w:rsidRPr="00DA2434">
        <w:rPr>
          <w:rFonts w:ascii="Times New Roman" w:eastAsia="宋体" w:hAnsi="Times New Roman" w:cs="Times New Roman" w:hint="eastAsia"/>
          <w:sz w:val="28"/>
          <w:szCs w:val="28"/>
        </w:rPr>
        <w:t>的加油站，是满足交通运输高效运行的需要。永春县南环路作为永春县主城区环线的组成部分，起到保持交通运输通达性以及</w:t>
      </w:r>
      <w:proofErr w:type="gramStart"/>
      <w:r w:rsidRPr="00DA2434">
        <w:rPr>
          <w:rFonts w:ascii="Times New Roman" w:eastAsia="宋体" w:hAnsi="Times New Roman" w:cs="Times New Roman" w:hint="eastAsia"/>
          <w:sz w:val="28"/>
          <w:szCs w:val="28"/>
        </w:rPr>
        <w:t>截留分流</w:t>
      </w:r>
      <w:proofErr w:type="gramEnd"/>
      <w:r w:rsidRPr="00DA2434">
        <w:rPr>
          <w:rFonts w:ascii="Times New Roman" w:eastAsia="宋体" w:hAnsi="Times New Roman" w:cs="Times New Roman" w:hint="eastAsia"/>
          <w:sz w:val="28"/>
          <w:szCs w:val="28"/>
        </w:rPr>
        <w:t>的交通保护作用，加油站的建设扩充完善了永</w:t>
      </w:r>
      <w:proofErr w:type="gramStart"/>
      <w:r w:rsidRPr="00DA2434">
        <w:rPr>
          <w:rFonts w:ascii="Times New Roman" w:eastAsia="宋体" w:hAnsi="Times New Roman" w:cs="Times New Roman" w:hint="eastAsia"/>
          <w:sz w:val="28"/>
          <w:szCs w:val="28"/>
        </w:rPr>
        <w:t>春城市</w:t>
      </w:r>
      <w:proofErr w:type="gramEnd"/>
      <w:r w:rsidRPr="00DA2434">
        <w:rPr>
          <w:rFonts w:ascii="Times New Roman" w:eastAsia="宋体" w:hAnsi="Times New Roman" w:cs="Times New Roman" w:hint="eastAsia"/>
          <w:sz w:val="28"/>
          <w:szCs w:val="28"/>
        </w:rPr>
        <w:t>环线的功能，进一步提高了交通运行效率。</w:t>
      </w:r>
    </w:p>
    <w:p w14:paraId="0D7B9269" w14:textId="4A95BC26" w:rsidR="00DA2434" w:rsidRPr="00DA2434" w:rsidRDefault="00DA2434" w:rsidP="00FA5319">
      <w:pPr>
        <w:ind w:firstLineChars="200"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（二）</w:t>
      </w:r>
      <w:r w:rsidRPr="00DA2434">
        <w:rPr>
          <w:rFonts w:ascii="Times New Roman" w:eastAsia="宋体" w:hAnsi="Times New Roman" w:cs="Times New Roman"/>
          <w:sz w:val="28"/>
          <w:szCs w:val="28"/>
        </w:rPr>
        <w:t>便利群众生活出行的需要</w:t>
      </w:r>
    </w:p>
    <w:p w14:paraId="58AC6F34" w14:textId="77777777" w:rsidR="00DA2434" w:rsidRPr="00DA2434" w:rsidRDefault="00DA2434" w:rsidP="00FA5319">
      <w:pPr>
        <w:ind w:firstLineChars="200" w:firstLine="560"/>
        <w:rPr>
          <w:rFonts w:ascii="Times New Roman" w:eastAsia="宋体" w:hAnsi="Times New Roman" w:cs="Times New Roman"/>
          <w:sz w:val="28"/>
          <w:szCs w:val="28"/>
        </w:rPr>
      </w:pPr>
      <w:r w:rsidRPr="00DA2434">
        <w:rPr>
          <w:rFonts w:ascii="Times New Roman" w:eastAsia="宋体" w:hAnsi="Times New Roman" w:cs="Times New Roman" w:hint="eastAsia"/>
          <w:sz w:val="28"/>
          <w:szCs w:val="28"/>
        </w:rPr>
        <w:t>根据永春县历年国民经济和社会发展统计公报数据显示，永春县汽车保有量增长已连续六年保持</w:t>
      </w:r>
      <w:r w:rsidRPr="00DA2434">
        <w:rPr>
          <w:rFonts w:ascii="Times New Roman" w:eastAsia="宋体" w:hAnsi="Times New Roman" w:cs="Times New Roman"/>
          <w:sz w:val="28"/>
          <w:szCs w:val="28"/>
        </w:rPr>
        <w:t>10%</w:t>
      </w:r>
      <w:r w:rsidRPr="00DA2434">
        <w:rPr>
          <w:rFonts w:ascii="Times New Roman" w:eastAsia="宋体" w:hAnsi="Times New Roman" w:cs="Times New Roman"/>
          <w:sz w:val="28"/>
          <w:szCs w:val="28"/>
        </w:rPr>
        <w:t>以上的增长速度。加油站是城市社会生活的一个服务窗口，直接接触到社会和人民群众，与生活息息相关，本方案所涉加油站项目的建成，可为永春县人民群众日常交通出行提供极大便利。</w:t>
      </w:r>
    </w:p>
    <w:p w14:paraId="6A330C68" w14:textId="583A7AC3" w:rsidR="00DA2434" w:rsidRPr="00DA2434" w:rsidRDefault="00DA2434" w:rsidP="00FA5319">
      <w:pPr>
        <w:ind w:firstLineChars="200"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（三）</w:t>
      </w:r>
      <w:r w:rsidRPr="00DA2434">
        <w:rPr>
          <w:rFonts w:ascii="Times New Roman" w:eastAsia="宋体" w:hAnsi="Times New Roman" w:cs="Times New Roman"/>
          <w:sz w:val="28"/>
          <w:szCs w:val="28"/>
        </w:rPr>
        <w:t>促进区域产业发展的需要</w:t>
      </w:r>
    </w:p>
    <w:p w14:paraId="3C1DA237" w14:textId="77777777" w:rsidR="00DA2434" w:rsidRDefault="00DA2434" w:rsidP="00FA5319">
      <w:pPr>
        <w:ind w:firstLineChars="200" w:firstLine="560"/>
        <w:rPr>
          <w:rFonts w:ascii="Times New Roman" w:eastAsia="宋体" w:hAnsi="Times New Roman" w:cs="Times New Roman"/>
          <w:sz w:val="28"/>
          <w:szCs w:val="28"/>
        </w:rPr>
      </w:pPr>
      <w:r w:rsidRPr="00DA2434">
        <w:rPr>
          <w:rFonts w:ascii="Times New Roman" w:eastAsia="宋体" w:hAnsi="Times New Roman" w:cs="Times New Roman" w:hint="eastAsia"/>
          <w:sz w:val="28"/>
          <w:szCs w:val="28"/>
        </w:rPr>
        <w:t>本方案位于永春县生物医药产业园与</w:t>
      </w:r>
      <w:proofErr w:type="gramStart"/>
      <w:r w:rsidRPr="00DA2434">
        <w:rPr>
          <w:rFonts w:ascii="Times New Roman" w:eastAsia="宋体" w:hAnsi="Times New Roman" w:cs="Times New Roman" w:hint="eastAsia"/>
          <w:sz w:val="28"/>
          <w:szCs w:val="28"/>
        </w:rPr>
        <w:t>探花山</w:t>
      </w:r>
      <w:proofErr w:type="gramEnd"/>
      <w:r w:rsidRPr="00DA2434">
        <w:rPr>
          <w:rFonts w:ascii="Times New Roman" w:eastAsia="宋体" w:hAnsi="Times New Roman" w:cs="Times New Roman" w:hint="eastAsia"/>
          <w:sz w:val="28"/>
          <w:szCs w:val="28"/>
        </w:rPr>
        <w:t>工业区的中间地带，伴随永春县社会经济的持续发展，园区企业相继入驻投产，周边地区人口汇聚，车流量不断扩大，对交通运输能源供应条件提出了新的要求。本方案所涉加油站项目的建成，能进一步满足周边园区运输车辆对油气的需求，对促进区域产业发展具有积极意义。</w:t>
      </w:r>
    </w:p>
    <w:p w14:paraId="0CC72696" w14:textId="1B576D57" w:rsidR="001C205A" w:rsidRPr="00116AF4" w:rsidRDefault="0056606B" w:rsidP="00FA5319">
      <w:pPr>
        <w:pStyle w:val="a5"/>
        <w:ind w:firstLineChars="0" w:firstLine="0"/>
        <w:rPr>
          <w:rFonts w:ascii="Times New Roman" w:eastAsia="黑体" w:hAnsi="Times New Roman" w:cs="Times New Roman"/>
          <w:sz w:val="30"/>
          <w:szCs w:val="30"/>
        </w:rPr>
      </w:pPr>
      <w:r>
        <w:rPr>
          <w:rFonts w:ascii="Times New Roman" w:eastAsia="黑体" w:hAnsi="Times New Roman" w:cs="Times New Roman" w:hint="eastAsia"/>
          <w:sz w:val="30"/>
          <w:szCs w:val="30"/>
        </w:rPr>
        <w:t>四、</w:t>
      </w:r>
      <w:r w:rsidR="001C205A" w:rsidRPr="00116AF4">
        <w:rPr>
          <w:rFonts w:ascii="Times New Roman" w:eastAsia="黑体" w:hAnsi="Times New Roman" w:cs="Times New Roman"/>
          <w:sz w:val="30"/>
          <w:szCs w:val="30"/>
        </w:rPr>
        <w:t>主要用途、实现功能及公益性用地比例</w:t>
      </w:r>
    </w:p>
    <w:p w14:paraId="4EB795DB" w14:textId="536C4204" w:rsidR="00710E9A" w:rsidRPr="001A5B2E" w:rsidRDefault="00710E9A" w:rsidP="00FA5319">
      <w:pPr>
        <w:ind w:firstLineChars="200" w:firstLine="560"/>
        <w:rPr>
          <w:rFonts w:ascii="Times New Roman" w:eastAsia="宋体" w:hAnsi="Times New Roman" w:cs="Times New Roman"/>
          <w:sz w:val="28"/>
          <w:szCs w:val="28"/>
        </w:rPr>
      </w:pPr>
      <w:r w:rsidRPr="001A5B2E">
        <w:rPr>
          <w:rFonts w:ascii="Times New Roman" w:eastAsia="宋体" w:hAnsi="Times New Roman" w:cs="Times New Roman"/>
          <w:sz w:val="28"/>
          <w:szCs w:val="28"/>
        </w:rPr>
        <w:t>本方案用地总面积</w:t>
      </w:r>
      <w:r w:rsidRPr="001A5B2E">
        <w:rPr>
          <w:rFonts w:ascii="Times New Roman" w:eastAsia="宋体" w:hAnsi="Times New Roman" w:cs="Times New Roman"/>
          <w:sz w:val="28"/>
          <w:szCs w:val="28"/>
        </w:rPr>
        <w:t>4.0268</w:t>
      </w:r>
      <w:r w:rsidRPr="001A5B2E">
        <w:rPr>
          <w:rFonts w:ascii="Times New Roman" w:eastAsia="宋体" w:hAnsi="Times New Roman" w:cs="Times New Roman"/>
          <w:sz w:val="28"/>
          <w:szCs w:val="28"/>
        </w:rPr>
        <w:t>公顷，主要用途分为</w:t>
      </w:r>
      <w:r w:rsidR="00DA2434">
        <w:rPr>
          <w:rFonts w:ascii="Times New Roman" w:eastAsia="宋体" w:hAnsi="Times New Roman" w:cs="Times New Roman" w:hint="eastAsia"/>
          <w:sz w:val="28"/>
          <w:szCs w:val="28"/>
        </w:rPr>
        <w:t>商业</w:t>
      </w:r>
      <w:r w:rsidRPr="001A5B2E">
        <w:rPr>
          <w:rFonts w:ascii="Times New Roman" w:eastAsia="宋体" w:hAnsi="Times New Roman" w:cs="Times New Roman"/>
          <w:sz w:val="28"/>
          <w:szCs w:val="28"/>
        </w:rPr>
        <w:t>用地、工业用地、防护绿地、</w:t>
      </w:r>
      <w:r w:rsidR="00DA2434">
        <w:rPr>
          <w:rFonts w:ascii="Times New Roman" w:eastAsia="宋体" w:hAnsi="Times New Roman" w:cs="Times New Roman" w:hint="eastAsia"/>
          <w:sz w:val="28"/>
          <w:szCs w:val="28"/>
        </w:rPr>
        <w:t>公路</w:t>
      </w:r>
      <w:r w:rsidRPr="001A5B2E">
        <w:rPr>
          <w:rFonts w:ascii="Times New Roman" w:eastAsia="宋体" w:hAnsi="Times New Roman" w:cs="Times New Roman"/>
          <w:sz w:val="28"/>
          <w:szCs w:val="28"/>
        </w:rPr>
        <w:t>用地。</w:t>
      </w:r>
    </w:p>
    <w:p w14:paraId="1C4565E9" w14:textId="4EE8D4DC" w:rsidR="00875730" w:rsidRPr="001A5B2E" w:rsidRDefault="00875730" w:rsidP="00FA5319">
      <w:pPr>
        <w:ind w:firstLineChars="200" w:firstLine="560"/>
        <w:rPr>
          <w:rFonts w:ascii="Times New Roman" w:eastAsia="宋体" w:hAnsi="Times New Roman" w:cs="Times New Roman"/>
          <w:sz w:val="28"/>
          <w:szCs w:val="28"/>
        </w:rPr>
      </w:pPr>
      <w:r w:rsidRPr="001A5B2E">
        <w:rPr>
          <w:rFonts w:ascii="Times New Roman" w:eastAsia="宋体" w:hAnsi="Times New Roman" w:cs="Times New Roman"/>
          <w:sz w:val="28"/>
          <w:szCs w:val="28"/>
        </w:rPr>
        <w:lastRenderedPageBreak/>
        <w:t>公益性用包括</w:t>
      </w:r>
      <w:r w:rsidR="00710E9A" w:rsidRPr="001A5B2E">
        <w:rPr>
          <w:rFonts w:ascii="Times New Roman" w:eastAsia="宋体" w:hAnsi="Times New Roman" w:cs="Times New Roman"/>
          <w:sz w:val="28"/>
          <w:szCs w:val="28"/>
        </w:rPr>
        <w:t>防护绿地、</w:t>
      </w:r>
      <w:r w:rsidR="000B58FB">
        <w:rPr>
          <w:rFonts w:ascii="Times New Roman" w:eastAsia="宋体" w:hAnsi="Times New Roman" w:cs="Times New Roman" w:hint="eastAsia"/>
          <w:sz w:val="28"/>
          <w:szCs w:val="28"/>
        </w:rPr>
        <w:t>公路</w:t>
      </w:r>
      <w:r w:rsidR="00710E9A" w:rsidRPr="001A5B2E">
        <w:rPr>
          <w:rFonts w:ascii="Times New Roman" w:eastAsia="宋体" w:hAnsi="Times New Roman" w:cs="Times New Roman"/>
          <w:sz w:val="28"/>
          <w:szCs w:val="28"/>
        </w:rPr>
        <w:t>用地</w:t>
      </w:r>
      <w:r w:rsidRPr="001A5B2E">
        <w:rPr>
          <w:rFonts w:ascii="Times New Roman" w:eastAsia="宋体" w:hAnsi="Times New Roman" w:cs="Times New Roman"/>
          <w:sz w:val="28"/>
          <w:szCs w:val="28"/>
        </w:rPr>
        <w:t>，面积</w:t>
      </w:r>
      <w:r w:rsidR="00710E9A" w:rsidRPr="001A5B2E">
        <w:rPr>
          <w:rFonts w:ascii="Times New Roman" w:eastAsia="宋体" w:hAnsi="Times New Roman" w:cs="Times New Roman"/>
          <w:sz w:val="28"/>
          <w:szCs w:val="28"/>
        </w:rPr>
        <w:t>合计</w:t>
      </w:r>
      <w:r w:rsidR="00710E9A" w:rsidRPr="001A5B2E">
        <w:rPr>
          <w:rFonts w:ascii="Times New Roman" w:eastAsia="宋体" w:hAnsi="Times New Roman" w:cs="Times New Roman"/>
          <w:sz w:val="28"/>
          <w:szCs w:val="28"/>
        </w:rPr>
        <w:t>2.4311</w:t>
      </w:r>
      <w:r w:rsidR="00710E9A" w:rsidRPr="001A5B2E">
        <w:rPr>
          <w:rFonts w:ascii="Times New Roman" w:eastAsia="宋体" w:hAnsi="Times New Roman" w:cs="Times New Roman"/>
          <w:sz w:val="28"/>
          <w:szCs w:val="28"/>
        </w:rPr>
        <w:t>公顷</w:t>
      </w:r>
      <w:r w:rsidRPr="001A5B2E">
        <w:rPr>
          <w:rFonts w:ascii="Times New Roman" w:eastAsia="宋体" w:hAnsi="Times New Roman" w:cs="Times New Roman"/>
          <w:sz w:val="28"/>
          <w:szCs w:val="28"/>
        </w:rPr>
        <w:t>，占用地总面积的</w:t>
      </w:r>
      <w:r w:rsidR="00710E9A" w:rsidRPr="001A5B2E">
        <w:rPr>
          <w:rFonts w:ascii="Times New Roman" w:eastAsia="宋体" w:hAnsi="Times New Roman" w:cs="Times New Roman"/>
          <w:sz w:val="28"/>
          <w:szCs w:val="28"/>
        </w:rPr>
        <w:t>60.37</w:t>
      </w:r>
      <w:r w:rsidRPr="001A5B2E">
        <w:rPr>
          <w:rFonts w:ascii="Times New Roman" w:eastAsia="宋体" w:hAnsi="Times New Roman" w:cs="Times New Roman"/>
          <w:sz w:val="28"/>
          <w:szCs w:val="28"/>
        </w:rPr>
        <w:t>%</w:t>
      </w:r>
      <w:r w:rsidRPr="001A5B2E">
        <w:rPr>
          <w:rFonts w:ascii="Times New Roman" w:eastAsia="宋体" w:hAnsi="Times New Roman" w:cs="Times New Roman"/>
          <w:sz w:val="28"/>
          <w:szCs w:val="28"/>
        </w:rPr>
        <w:t>，符合自然资</w:t>
      </w:r>
      <w:proofErr w:type="gramStart"/>
      <w:r w:rsidRPr="001A5B2E">
        <w:rPr>
          <w:rFonts w:ascii="Times New Roman" w:eastAsia="宋体" w:hAnsi="Times New Roman" w:cs="Times New Roman"/>
          <w:sz w:val="28"/>
          <w:szCs w:val="28"/>
        </w:rPr>
        <w:t>规</w:t>
      </w:r>
      <w:proofErr w:type="gramEnd"/>
      <w:r w:rsidRPr="001A5B2E">
        <w:rPr>
          <w:rFonts w:ascii="Times New Roman" w:eastAsia="宋体" w:hAnsi="Times New Roman" w:cs="Times New Roman"/>
          <w:sz w:val="28"/>
          <w:szCs w:val="28"/>
        </w:rPr>
        <w:t>〔</w:t>
      </w:r>
      <w:r w:rsidRPr="001A5B2E">
        <w:rPr>
          <w:rFonts w:ascii="Times New Roman" w:eastAsia="宋体" w:hAnsi="Times New Roman" w:cs="Times New Roman"/>
          <w:sz w:val="28"/>
          <w:szCs w:val="28"/>
        </w:rPr>
        <w:t>2020</w:t>
      </w:r>
      <w:r w:rsidRPr="001A5B2E">
        <w:rPr>
          <w:rFonts w:ascii="Times New Roman" w:eastAsia="宋体" w:hAnsi="Times New Roman" w:cs="Times New Roman"/>
          <w:sz w:val="28"/>
          <w:szCs w:val="28"/>
        </w:rPr>
        <w:t>〕</w:t>
      </w:r>
      <w:r w:rsidRPr="001A5B2E">
        <w:rPr>
          <w:rFonts w:ascii="Times New Roman" w:eastAsia="宋体" w:hAnsi="Times New Roman" w:cs="Times New Roman"/>
          <w:sz w:val="28"/>
          <w:szCs w:val="28"/>
        </w:rPr>
        <w:t>5</w:t>
      </w:r>
      <w:r w:rsidRPr="001A5B2E">
        <w:rPr>
          <w:rFonts w:ascii="Times New Roman" w:eastAsia="宋体" w:hAnsi="Times New Roman" w:cs="Times New Roman"/>
          <w:sz w:val="28"/>
          <w:szCs w:val="28"/>
        </w:rPr>
        <w:t>号文规定。</w:t>
      </w:r>
    </w:p>
    <w:p w14:paraId="2D635D6F" w14:textId="0C12DA78" w:rsidR="001C205A" w:rsidRPr="00116AF4" w:rsidRDefault="0056606B" w:rsidP="00FA5319">
      <w:pPr>
        <w:pStyle w:val="a5"/>
        <w:ind w:firstLineChars="0" w:firstLine="0"/>
        <w:rPr>
          <w:rFonts w:ascii="Times New Roman" w:eastAsia="黑体" w:hAnsi="Times New Roman" w:cs="Times New Roman"/>
          <w:sz w:val="30"/>
          <w:szCs w:val="30"/>
        </w:rPr>
      </w:pPr>
      <w:r>
        <w:rPr>
          <w:rFonts w:ascii="Times New Roman" w:eastAsia="黑体" w:hAnsi="Times New Roman" w:cs="Times New Roman" w:hint="eastAsia"/>
          <w:sz w:val="30"/>
          <w:szCs w:val="30"/>
        </w:rPr>
        <w:t>五、</w:t>
      </w:r>
      <w:r w:rsidR="001C205A" w:rsidRPr="00116AF4">
        <w:rPr>
          <w:rFonts w:ascii="Times New Roman" w:eastAsia="黑体" w:hAnsi="Times New Roman" w:cs="Times New Roman"/>
          <w:sz w:val="30"/>
          <w:szCs w:val="30"/>
        </w:rPr>
        <w:t>拟建项目与实施计划</w:t>
      </w:r>
    </w:p>
    <w:p w14:paraId="616D9FE5" w14:textId="2AF31401" w:rsidR="00710E9A" w:rsidRPr="00116AF4" w:rsidRDefault="00710E9A" w:rsidP="00FA5319">
      <w:pPr>
        <w:ind w:firstLineChars="200" w:firstLine="560"/>
        <w:rPr>
          <w:rFonts w:ascii="Times New Roman" w:eastAsia="宋体" w:hAnsi="Times New Roman" w:cs="Times New Roman"/>
          <w:sz w:val="28"/>
          <w:szCs w:val="28"/>
        </w:rPr>
      </w:pPr>
      <w:r w:rsidRPr="00710E9A">
        <w:rPr>
          <w:rFonts w:ascii="Times New Roman" w:eastAsia="宋体" w:hAnsi="Times New Roman" w:cs="Times New Roman" w:hint="eastAsia"/>
          <w:sz w:val="28"/>
          <w:szCs w:val="28"/>
        </w:rPr>
        <w:t>本方案用地总面积</w:t>
      </w:r>
      <w:r w:rsidRPr="00710E9A">
        <w:rPr>
          <w:rFonts w:ascii="Times New Roman" w:eastAsia="宋体" w:hAnsi="Times New Roman" w:cs="Times New Roman"/>
          <w:sz w:val="28"/>
          <w:szCs w:val="28"/>
        </w:rPr>
        <w:t>4.0268</w:t>
      </w:r>
      <w:r w:rsidRPr="00710E9A">
        <w:rPr>
          <w:rFonts w:ascii="Times New Roman" w:eastAsia="宋体" w:hAnsi="Times New Roman" w:cs="Times New Roman"/>
          <w:sz w:val="28"/>
          <w:szCs w:val="28"/>
        </w:rPr>
        <w:t>公顷，其中涉及已完成实施面积</w:t>
      </w:r>
      <w:r w:rsidRPr="00710E9A">
        <w:rPr>
          <w:rFonts w:ascii="Times New Roman" w:eastAsia="宋体" w:hAnsi="Times New Roman" w:cs="Times New Roman"/>
          <w:sz w:val="28"/>
          <w:szCs w:val="28"/>
        </w:rPr>
        <w:t>3.</w:t>
      </w:r>
      <w:r>
        <w:rPr>
          <w:rFonts w:ascii="Times New Roman" w:eastAsia="宋体" w:hAnsi="Times New Roman" w:cs="Times New Roman"/>
          <w:sz w:val="28"/>
          <w:szCs w:val="28"/>
        </w:rPr>
        <w:t>7</w:t>
      </w:r>
      <w:r w:rsidR="000B58FB">
        <w:rPr>
          <w:rFonts w:ascii="Times New Roman" w:eastAsia="宋体" w:hAnsi="Times New Roman" w:cs="Times New Roman"/>
          <w:sz w:val="28"/>
          <w:szCs w:val="28"/>
        </w:rPr>
        <w:t>081</w:t>
      </w:r>
      <w:r w:rsidRPr="00710E9A">
        <w:rPr>
          <w:rFonts w:ascii="Times New Roman" w:eastAsia="宋体" w:hAnsi="Times New Roman" w:cs="Times New Roman"/>
          <w:sz w:val="28"/>
          <w:szCs w:val="28"/>
        </w:rPr>
        <w:t>公顷，故拟安排实施项目面积</w:t>
      </w:r>
      <w:r w:rsidRPr="00710E9A">
        <w:rPr>
          <w:rFonts w:ascii="Times New Roman" w:eastAsia="宋体" w:hAnsi="Times New Roman" w:cs="Times New Roman"/>
          <w:sz w:val="28"/>
          <w:szCs w:val="28"/>
        </w:rPr>
        <w:t>0.</w:t>
      </w:r>
      <w:r w:rsidR="000B58FB">
        <w:rPr>
          <w:rFonts w:ascii="Times New Roman" w:eastAsia="宋体" w:hAnsi="Times New Roman" w:cs="Times New Roman"/>
          <w:sz w:val="28"/>
          <w:szCs w:val="28"/>
        </w:rPr>
        <w:t>3187</w:t>
      </w:r>
      <w:r w:rsidRPr="00710E9A">
        <w:rPr>
          <w:rFonts w:ascii="Times New Roman" w:eastAsia="宋体" w:hAnsi="Times New Roman" w:cs="Times New Roman"/>
          <w:sz w:val="28"/>
          <w:szCs w:val="28"/>
        </w:rPr>
        <w:t>公顷，</w:t>
      </w:r>
      <w:r w:rsidRPr="00875730">
        <w:rPr>
          <w:rFonts w:ascii="Times New Roman" w:eastAsia="宋体" w:hAnsi="Times New Roman" w:cs="Times New Roman"/>
          <w:sz w:val="28"/>
          <w:szCs w:val="28"/>
        </w:rPr>
        <w:t>计划实施周期为</w:t>
      </w:r>
      <w:r w:rsidRPr="00875730">
        <w:rPr>
          <w:rFonts w:ascii="Times New Roman" w:eastAsia="宋体" w:hAnsi="Times New Roman" w:cs="Times New Roman"/>
          <w:sz w:val="28"/>
          <w:szCs w:val="28"/>
        </w:rPr>
        <w:t>2021</w:t>
      </w:r>
      <w:r w:rsidRPr="00875730">
        <w:rPr>
          <w:rFonts w:ascii="Times New Roman" w:eastAsia="宋体" w:hAnsi="Times New Roman" w:cs="Times New Roman"/>
          <w:sz w:val="28"/>
          <w:szCs w:val="28"/>
        </w:rPr>
        <w:t>年</w:t>
      </w:r>
      <w:r w:rsidR="000B58FB">
        <w:rPr>
          <w:rFonts w:ascii="Times New Roman" w:eastAsia="宋体" w:hAnsi="Times New Roman" w:cs="Times New Roman" w:hint="eastAsia"/>
          <w:sz w:val="28"/>
          <w:szCs w:val="28"/>
        </w:rPr>
        <w:t>至</w:t>
      </w:r>
      <w:r w:rsidRPr="00875730">
        <w:rPr>
          <w:rFonts w:ascii="Times New Roman" w:eastAsia="宋体" w:hAnsi="Times New Roman" w:cs="Times New Roman"/>
          <w:sz w:val="28"/>
          <w:szCs w:val="28"/>
        </w:rPr>
        <w:t>202</w:t>
      </w:r>
      <w:r>
        <w:rPr>
          <w:rFonts w:ascii="Times New Roman" w:eastAsia="宋体" w:hAnsi="Times New Roman" w:cs="Times New Roman"/>
          <w:sz w:val="28"/>
          <w:szCs w:val="28"/>
        </w:rPr>
        <w:t>2</w:t>
      </w:r>
      <w:r w:rsidRPr="00875730">
        <w:rPr>
          <w:rFonts w:ascii="Times New Roman" w:eastAsia="宋体" w:hAnsi="Times New Roman" w:cs="Times New Roman"/>
          <w:sz w:val="28"/>
          <w:szCs w:val="28"/>
        </w:rPr>
        <w:t>年，</w:t>
      </w:r>
      <w:r>
        <w:rPr>
          <w:rFonts w:ascii="Times New Roman" w:eastAsia="宋体" w:hAnsi="Times New Roman" w:cs="Times New Roman"/>
          <w:sz w:val="28"/>
          <w:szCs w:val="28"/>
        </w:rPr>
        <w:t>2</w:t>
      </w:r>
      <w:r w:rsidRPr="00875730">
        <w:rPr>
          <w:rFonts w:ascii="Times New Roman" w:eastAsia="宋体" w:hAnsi="Times New Roman" w:cs="Times New Roman"/>
          <w:sz w:val="28"/>
          <w:szCs w:val="28"/>
        </w:rPr>
        <w:t>年内实施完毕</w:t>
      </w:r>
      <w:r>
        <w:rPr>
          <w:rFonts w:ascii="Times New Roman" w:eastAsia="宋体" w:hAnsi="Times New Roman" w:cs="Times New Roman" w:hint="eastAsia"/>
          <w:sz w:val="28"/>
          <w:szCs w:val="28"/>
        </w:rPr>
        <w:t>。</w:t>
      </w:r>
    </w:p>
    <w:p w14:paraId="33E19055" w14:textId="62318631" w:rsidR="001C205A" w:rsidRPr="00116AF4" w:rsidRDefault="0056606B" w:rsidP="00FA5319">
      <w:pPr>
        <w:pStyle w:val="a5"/>
        <w:ind w:firstLineChars="0" w:firstLine="0"/>
        <w:rPr>
          <w:rFonts w:ascii="Times New Roman" w:eastAsia="黑体" w:hAnsi="Times New Roman" w:cs="Times New Roman"/>
          <w:sz w:val="30"/>
          <w:szCs w:val="30"/>
        </w:rPr>
      </w:pPr>
      <w:r>
        <w:rPr>
          <w:rFonts w:ascii="Times New Roman" w:eastAsia="黑体" w:hAnsi="Times New Roman" w:cs="Times New Roman" w:hint="eastAsia"/>
          <w:sz w:val="30"/>
          <w:szCs w:val="30"/>
        </w:rPr>
        <w:t>六、</w:t>
      </w:r>
      <w:r w:rsidR="001C205A" w:rsidRPr="00116AF4">
        <w:rPr>
          <w:rFonts w:ascii="Times New Roman" w:eastAsia="黑体" w:hAnsi="Times New Roman" w:cs="Times New Roman"/>
          <w:sz w:val="30"/>
          <w:szCs w:val="30"/>
        </w:rPr>
        <w:t>合</w:t>
      </w:r>
      <w:proofErr w:type="gramStart"/>
      <w:r w:rsidR="001C205A" w:rsidRPr="00116AF4">
        <w:rPr>
          <w:rFonts w:ascii="Times New Roman" w:eastAsia="黑体" w:hAnsi="Times New Roman" w:cs="Times New Roman"/>
          <w:sz w:val="30"/>
          <w:szCs w:val="30"/>
        </w:rPr>
        <w:t>规</w:t>
      </w:r>
      <w:proofErr w:type="gramEnd"/>
      <w:r w:rsidR="001C205A" w:rsidRPr="00116AF4">
        <w:rPr>
          <w:rFonts w:ascii="Times New Roman" w:eastAsia="黑体" w:hAnsi="Times New Roman" w:cs="Times New Roman"/>
          <w:sz w:val="30"/>
          <w:szCs w:val="30"/>
        </w:rPr>
        <w:t>性分析</w:t>
      </w:r>
    </w:p>
    <w:p w14:paraId="6F6AD5EE" w14:textId="69584669" w:rsidR="00116AF4" w:rsidRPr="00D835B9" w:rsidRDefault="00D835B9" w:rsidP="00FA5319">
      <w:pPr>
        <w:ind w:firstLineChars="200"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（一）</w:t>
      </w:r>
      <w:r w:rsidR="00116AF4" w:rsidRPr="00D835B9">
        <w:rPr>
          <w:rFonts w:ascii="Times New Roman" w:eastAsia="宋体" w:hAnsi="Times New Roman" w:cs="Times New Roman" w:hint="eastAsia"/>
          <w:sz w:val="28"/>
          <w:szCs w:val="28"/>
        </w:rPr>
        <w:t>国土空间规划符合性</w:t>
      </w:r>
    </w:p>
    <w:p w14:paraId="038A615B" w14:textId="1323DE41" w:rsidR="00710E9A" w:rsidRPr="00116AF4" w:rsidRDefault="00710E9A" w:rsidP="00FA5319">
      <w:pPr>
        <w:ind w:firstLineChars="200" w:firstLine="560"/>
        <w:rPr>
          <w:rFonts w:ascii="Times New Roman" w:eastAsia="宋体" w:hAnsi="Times New Roman" w:cs="Times New Roman"/>
          <w:sz w:val="28"/>
          <w:szCs w:val="28"/>
        </w:rPr>
      </w:pPr>
      <w:r w:rsidRPr="00710E9A">
        <w:rPr>
          <w:rFonts w:ascii="Times New Roman" w:eastAsia="宋体" w:hAnsi="Times New Roman" w:cs="Times New Roman" w:hint="eastAsia"/>
          <w:sz w:val="28"/>
          <w:szCs w:val="28"/>
        </w:rPr>
        <w:t>成片开发范围位于土地利用总体规划确定的允许建设区和有条件建设区，面积分别为</w:t>
      </w:r>
      <w:r w:rsidRPr="00710E9A">
        <w:rPr>
          <w:rFonts w:ascii="Times New Roman" w:eastAsia="宋体" w:hAnsi="Times New Roman" w:cs="Times New Roman"/>
          <w:sz w:val="28"/>
          <w:szCs w:val="28"/>
        </w:rPr>
        <w:t>1.7756</w:t>
      </w:r>
      <w:r w:rsidRPr="00710E9A">
        <w:rPr>
          <w:rFonts w:ascii="Times New Roman" w:eastAsia="宋体" w:hAnsi="Times New Roman" w:cs="Times New Roman"/>
          <w:sz w:val="28"/>
          <w:szCs w:val="28"/>
        </w:rPr>
        <w:t>公顷和</w:t>
      </w:r>
      <w:r w:rsidRPr="00710E9A">
        <w:rPr>
          <w:rFonts w:ascii="Times New Roman" w:eastAsia="宋体" w:hAnsi="Times New Roman" w:cs="Times New Roman"/>
          <w:sz w:val="28"/>
          <w:szCs w:val="28"/>
        </w:rPr>
        <w:t>2.2512</w:t>
      </w:r>
      <w:r w:rsidRPr="00710E9A">
        <w:rPr>
          <w:rFonts w:ascii="Times New Roman" w:eastAsia="宋体" w:hAnsi="Times New Roman" w:cs="Times New Roman"/>
          <w:sz w:val="28"/>
          <w:szCs w:val="28"/>
        </w:rPr>
        <w:t>公顷，过渡期间，建设规模和用地布局与土地利用总体规划、城市总体规划、控制性详细规划衔接一致。永春县人民政府承诺方案获批后，土地征收成片开发范围纳入国土空间规划确定的城镇开发边界内的集中建设区，并符合规划管控规则。</w:t>
      </w:r>
    </w:p>
    <w:p w14:paraId="7AC4E3FB" w14:textId="69BB2559" w:rsidR="00116AF4" w:rsidRPr="00D835B9" w:rsidRDefault="00D835B9" w:rsidP="00FA5319">
      <w:pPr>
        <w:ind w:firstLineChars="200"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（二）</w:t>
      </w:r>
      <w:r w:rsidR="00116AF4" w:rsidRPr="00D835B9">
        <w:rPr>
          <w:rFonts w:ascii="Times New Roman" w:eastAsia="宋体" w:hAnsi="Times New Roman" w:cs="Times New Roman" w:hint="eastAsia"/>
          <w:sz w:val="28"/>
          <w:szCs w:val="28"/>
        </w:rPr>
        <w:t>国民经济和社会发展规划、年度计划符合性</w:t>
      </w:r>
    </w:p>
    <w:p w14:paraId="6E6B0F97" w14:textId="77777777" w:rsidR="00116AF4" w:rsidRPr="00116AF4" w:rsidRDefault="00116AF4" w:rsidP="00FA5319">
      <w:pPr>
        <w:ind w:firstLineChars="200" w:firstLine="560"/>
        <w:rPr>
          <w:rFonts w:ascii="Times New Roman" w:eastAsia="宋体" w:hAnsi="Times New Roman" w:cs="Times New Roman"/>
          <w:sz w:val="28"/>
          <w:szCs w:val="28"/>
        </w:rPr>
      </w:pPr>
      <w:r w:rsidRPr="00116AF4">
        <w:rPr>
          <w:rFonts w:ascii="Times New Roman" w:eastAsia="宋体" w:hAnsi="Times New Roman" w:cs="Times New Roman" w:hint="eastAsia"/>
          <w:sz w:val="28"/>
          <w:szCs w:val="28"/>
        </w:rPr>
        <w:t>本方案与现行国民经济和社会发展规划相符，已纳入国民经济和社会发展年度计划。</w:t>
      </w:r>
    </w:p>
    <w:p w14:paraId="1C41F3FE" w14:textId="64D2D6E1" w:rsidR="00116AF4" w:rsidRPr="00D835B9" w:rsidRDefault="00D835B9" w:rsidP="00FA5319">
      <w:pPr>
        <w:ind w:firstLineChars="200"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（三）</w:t>
      </w:r>
      <w:r w:rsidR="00116AF4" w:rsidRPr="00D835B9">
        <w:rPr>
          <w:rFonts w:ascii="Times New Roman" w:eastAsia="宋体" w:hAnsi="Times New Roman" w:cs="Times New Roman" w:hint="eastAsia"/>
          <w:sz w:val="28"/>
          <w:szCs w:val="28"/>
        </w:rPr>
        <w:t>占用永久基本农田和其他法律法规不允许占用或开发的</w:t>
      </w:r>
      <w:r>
        <w:rPr>
          <w:rFonts w:ascii="Times New Roman" w:eastAsia="宋体" w:hAnsi="Times New Roman" w:cs="Times New Roman" w:hint="eastAsia"/>
          <w:sz w:val="28"/>
          <w:szCs w:val="28"/>
        </w:rPr>
        <w:t>情形</w:t>
      </w:r>
    </w:p>
    <w:p w14:paraId="293A0C8D" w14:textId="6B8DF935" w:rsidR="00116AF4" w:rsidRPr="00116AF4" w:rsidRDefault="00710E9A" w:rsidP="00FA5319">
      <w:pPr>
        <w:ind w:firstLineChars="200" w:firstLine="560"/>
        <w:rPr>
          <w:rFonts w:ascii="Times New Roman" w:eastAsia="宋体" w:hAnsi="Times New Roman" w:cs="Times New Roman"/>
          <w:sz w:val="28"/>
          <w:szCs w:val="28"/>
        </w:rPr>
      </w:pPr>
      <w:r w:rsidRPr="00116AF4">
        <w:rPr>
          <w:rFonts w:ascii="Times New Roman" w:eastAsia="宋体" w:hAnsi="Times New Roman" w:cs="Times New Roman" w:hint="eastAsia"/>
          <w:sz w:val="28"/>
          <w:szCs w:val="28"/>
        </w:rPr>
        <w:t>本</w:t>
      </w:r>
      <w:r w:rsidR="00875730" w:rsidRPr="00875730">
        <w:rPr>
          <w:rFonts w:ascii="Times New Roman" w:eastAsia="宋体" w:hAnsi="Times New Roman" w:cs="Times New Roman" w:hint="eastAsia"/>
          <w:sz w:val="28"/>
          <w:szCs w:val="28"/>
        </w:rPr>
        <w:t>方案未涉及占用永久基本农田、生态保护红线、各级（国家级、省级、市级、县级等）各类（生态系统类、野生生物类、自然遗迹类等）自然保护区等区域。同时，成片开发范围内，不涉及历史文化名城名镇名村传统村落、文物建筑、历史建筑及遗址等，不涉及自然保护地、饮用水水源保护区等各类保护区。</w:t>
      </w:r>
    </w:p>
    <w:p w14:paraId="33003652" w14:textId="755F2687" w:rsidR="001C205A" w:rsidRDefault="0056606B" w:rsidP="00FA5319">
      <w:pPr>
        <w:pStyle w:val="a5"/>
        <w:ind w:firstLineChars="0" w:firstLine="0"/>
        <w:rPr>
          <w:rFonts w:ascii="Times New Roman" w:eastAsia="黑体" w:hAnsi="Times New Roman" w:cs="Times New Roman"/>
          <w:sz w:val="30"/>
          <w:szCs w:val="30"/>
        </w:rPr>
      </w:pPr>
      <w:r>
        <w:rPr>
          <w:rFonts w:ascii="Times New Roman" w:eastAsia="黑体" w:hAnsi="Times New Roman" w:cs="Times New Roman" w:hint="eastAsia"/>
          <w:sz w:val="30"/>
          <w:szCs w:val="30"/>
        </w:rPr>
        <w:t>七、</w:t>
      </w:r>
      <w:r w:rsidR="001C205A" w:rsidRPr="00116AF4">
        <w:rPr>
          <w:rFonts w:ascii="Times New Roman" w:eastAsia="黑体" w:hAnsi="Times New Roman" w:cs="Times New Roman"/>
          <w:sz w:val="30"/>
          <w:szCs w:val="30"/>
        </w:rPr>
        <w:t>土地征收成片开发效益评估</w:t>
      </w:r>
    </w:p>
    <w:p w14:paraId="7A89F534" w14:textId="77777777" w:rsidR="0056606B" w:rsidRPr="0056606B" w:rsidRDefault="0056606B" w:rsidP="00FA5319">
      <w:pPr>
        <w:ind w:firstLineChars="200" w:firstLine="560"/>
        <w:rPr>
          <w:rFonts w:ascii="Times New Roman" w:eastAsia="宋体" w:hAnsi="Times New Roman" w:cs="Times New Roman"/>
          <w:sz w:val="28"/>
          <w:szCs w:val="28"/>
        </w:rPr>
      </w:pPr>
      <w:r w:rsidRPr="0056606B">
        <w:rPr>
          <w:rFonts w:ascii="Times New Roman" w:eastAsia="宋体" w:hAnsi="Times New Roman" w:cs="Times New Roman" w:hint="eastAsia"/>
          <w:sz w:val="28"/>
          <w:szCs w:val="28"/>
        </w:rPr>
        <w:lastRenderedPageBreak/>
        <w:t>（一）土地利用效益</w:t>
      </w:r>
    </w:p>
    <w:p w14:paraId="1990CCFF" w14:textId="77777777" w:rsidR="0056606B" w:rsidRPr="0056606B" w:rsidRDefault="0056606B" w:rsidP="00FA5319">
      <w:pPr>
        <w:ind w:firstLineChars="200" w:firstLine="560"/>
        <w:rPr>
          <w:rFonts w:ascii="Times New Roman" w:eastAsia="宋体" w:hAnsi="Times New Roman" w:cs="Times New Roman"/>
          <w:sz w:val="28"/>
          <w:szCs w:val="28"/>
        </w:rPr>
      </w:pPr>
      <w:r w:rsidRPr="0056606B">
        <w:rPr>
          <w:rFonts w:ascii="Times New Roman" w:eastAsia="宋体" w:hAnsi="Times New Roman" w:cs="Times New Roman" w:hint="eastAsia"/>
          <w:sz w:val="28"/>
          <w:szCs w:val="28"/>
        </w:rPr>
        <w:t>本方案容积率≤</w:t>
      </w:r>
      <w:r w:rsidRPr="0056606B">
        <w:rPr>
          <w:rFonts w:ascii="Times New Roman" w:eastAsia="宋体" w:hAnsi="Times New Roman" w:cs="Times New Roman"/>
          <w:sz w:val="28"/>
          <w:szCs w:val="28"/>
        </w:rPr>
        <w:t>1.5</w:t>
      </w:r>
      <w:r w:rsidRPr="0056606B">
        <w:rPr>
          <w:rFonts w:ascii="Times New Roman" w:eastAsia="宋体" w:hAnsi="Times New Roman" w:cs="Times New Roman"/>
          <w:sz w:val="28"/>
          <w:szCs w:val="28"/>
        </w:rPr>
        <w:t>，建筑系数</w:t>
      </w:r>
      <w:r w:rsidRPr="0056606B">
        <w:rPr>
          <w:rFonts w:ascii="Times New Roman" w:eastAsia="宋体" w:hAnsi="Times New Roman" w:cs="Times New Roman"/>
          <w:sz w:val="28"/>
          <w:szCs w:val="28"/>
        </w:rPr>
        <w:t>71%</w:t>
      </w:r>
      <w:r w:rsidRPr="0056606B">
        <w:rPr>
          <w:rFonts w:ascii="Times New Roman" w:eastAsia="宋体" w:hAnsi="Times New Roman" w:cs="Times New Roman"/>
          <w:sz w:val="28"/>
          <w:szCs w:val="28"/>
        </w:rPr>
        <w:t>，预计总投资不低于</w:t>
      </w:r>
      <w:r w:rsidRPr="0056606B">
        <w:rPr>
          <w:rFonts w:ascii="Times New Roman" w:eastAsia="宋体" w:hAnsi="Times New Roman" w:cs="Times New Roman"/>
          <w:sz w:val="28"/>
          <w:szCs w:val="28"/>
        </w:rPr>
        <w:t>1300</w:t>
      </w:r>
      <w:r w:rsidRPr="0056606B">
        <w:rPr>
          <w:rFonts w:ascii="Times New Roman" w:eastAsia="宋体" w:hAnsi="Times New Roman" w:cs="Times New Roman"/>
          <w:sz w:val="28"/>
          <w:szCs w:val="28"/>
        </w:rPr>
        <w:t>万元。通过土地利用开发，合理安排建设用地规模、结构和布局，本方案将强化土地集中管理，按实施计划供地，提升土地的使用效益，实现土地利用由粗放型向集约型转变，进一步释放蓬壶工业园区发展空间和潜力。</w:t>
      </w:r>
    </w:p>
    <w:p w14:paraId="631504E9" w14:textId="77777777" w:rsidR="0056606B" w:rsidRPr="0056606B" w:rsidRDefault="0056606B" w:rsidP="00FA5319">
      <w:pPr>
        <w:ind w:firstLineChars="200" w:firstLine="560"/>
        <w:rPr>
          <w:rFonts w:ascii="Times New Roman" w:eastAsia="宋体" w:hAnsi="Times New Roman" w:cs="Times New Roman"/>
          <w:sz w:val="28"/>
          <w:szCs w:val="28"/>
        </w:rPr>
      </w:pPr>
      <w:r w:rsidRPr="0056606B">
        <w:rPr>
          <w:rFonts w:ascii="Times New Roman" w:eastAsia="宋体" w:hAnsi="Times New Roman" w:cs="Times New Roman" w:hint="eastAsia"/>
          <w:sz w:val="28"/>
          <w:szCs w:val="28"/>
        </w:rPr>
        <w:t>（二）经济效益</w:t>
      </w:r>
    </w:p>
    <w:p w14:paraId="386A5A47" w14:textId="77777777" w:rsidR="0056606B" w:rsidRPr="0056606B" w:rsidRDefault="0056606B" w:rsidP="00FA5319">
      <w:pPr>
        <w:ind w:firstLineChars="200" w:firstLine="560"/>
        <w:rPr>
          <w:rFonts w:ascii="Times New Roman" w:eastAsia="宋体" w:hAnsi="Times New Roman" w:cs="Times New Roman"/>
          <w:sz w:val="28"/>
          <w:szCs w:val="28"/>
        </w:rPr>
      </w:pPr>
      <w:r w:rsidRPr="0056606B">
        <w:rPr>
          <w:rFonts w:ascii="Times New Roman" w:eastAsia="宋体" w:hAnsi="Times New Roman" w:cs="Times New Roman" w:hint="eastAsia"/>
          <w:sz w:val="28"/>
          <w:szCs w:val="28"/>
        </w:rPr>
        <w:t>根据经济测算，本方案所涉加油站项目投产后，达产年实现营业收入约</w:t>
      </w:r>
      <w:r w:rsidRPr="0056606B">
        <w:rPr>
          <w:rFonts w:ascii="Times New Roman" w:eastAsia="宋体" w:hAnsi="Times New Roman" w:cs="Times New Roman"/>
          <w:sz w:val="28"/>
          <w:szCs w:val="28"/>
        </w:rPr>
        <w:t>1800</w:t>
      </w:r>
      <w:r w:rsidRPr="0056606B">
        <w:rPr>
          <w:rFonts w:ascii="Times New Roman" w:eastAsia="宋体" w:hAnsi="Times New Roman" w:cs="Times New Roman"/>
          <w:sz w:val="28"/>
          <w:szCs w:val="28"/>
        </w:rPr>
        <w:t>万元，总成本费用约</w:t>
      </w:r>
      <w:r w:rsidRPr="0056606B">
        <w:rPr>
          <w:rFonts w:ascii="Times New Roman" w:eastAsia="宋体" w:hAnsi="Times New Roman" w:cs="Times New Roman"/>
          <w:sz w:val="28"/>
          <w:szCs w:val="28"/>
        </w:rPr>
        <w:t>1400</w:t>
      </w:r>
      <w:r w:rsidRPr="0056606B">
        <w:rPr>
          <w:rFonts w:ascii="Times New Roman" w:eastAsia="宋体" w:hAnsi="Times New Roman" w:cs="Times New Roman"/>
          <w:sz w:val="28"/>
          <w:szCs w:val="28"/>
        </w:rPr>
        <w:t>万元，所实现的年利润总额约</w:t>
      </w:r>
      <w:r w:rsidRPr="0056606B">
        <w:rPr>
          <w:rFonts w:ascii="Times New Roman" w:eastAsia="宋体" w:hAnsi="Times New Roman" w:cs="Times New Roman"/>
          <w:sz w:val="28"/>
          <w:szCs w:val="28"/>
        </w:rPr>
        <w:t>400</w:t>
      </w:r>
      <w:r w:rsidRPr="0056606B">
        <w:rPr>
          <w:rFonts w:ascii="Times New Roman" w:eastAsia="宋体" w:hAnsi="Times New Roman" w:cs="Times New Roman"/>
          <w:sz w:val="28"/>
          <w:szCs w:val="28"/>
        </w:rPr>
        <w:t>万元，企业所得税约</w:t>
      </w:r>
      <w:r w:rsidRPr="0056606B">
        <w:rPr>
          <w:rFonts w:ascii="Times New Roman" w:eastAsia="宋体" w:hAnsi="Times New Roman" w:cs="Times New Roman"/>
          <w:sz w:val="28"/>
          <w:szCs w:val="28"/>
        </w:rPr>
        <w:t>100</w:t>
      </w:r>
      <w:r w:rsidRPr="0056606B">
        <w:rPr>
          <w:rFonts w:ascii="Times New Roman" w:eastAsia="宋体" w:hAnsi="Times New Roman" w:cs="Times New Roman"/>
          <w:sz w:val="28"/>
          <w:szCs w:val="28"/>
        </w:rPr>
        <w:t>万元，税后净利润</w:t>
      </w:r>
      <w:r w:rsidRPr="0056606B">
        <w:rPr>
          <w:rFonts w:ascii="Times New Roman" w:eastAsia="宋体" w:hAnsi="Times New Roman" w:cs="Times New Roman"/>
          <w:sz w:val="28"/>
          <w:szCs w:val="28"/>
        </w:rPr>
        <w:t>300</w:t>
      </w:r>
      <w:r w:rsidRPr="0056606B">
        <w:rPr>
          <w:rFonts w:ascii="Times New Roman" w:eastAsia="宋体" w:hAnsi="Times New Roman" w:cs="Times New Roman"/>
          <w:sz w:val="28"/>
          <w:szCs w:val="28"/>
        </w:rPr>
        <w:t>万元，年纳税总额</w:t>
      </w:r>
      <w:r w:rsidRPr="0056606B">
        <w:rPr>
          <w:rFonts w:ascii="Times New Roman" w:eastAsia="宋体" w:hAnsi="Times New Roman" w:cs="Times New Roman"/>
          <w:sz w:val="28"/>
          <w:szCs w:val="28"/>
        </w:rPr>
        <w:t>230</w:t>
      </w:r>
      <w:r w:rsidRPr="0056606B">
        <w:rPr>
          <w:rFonts w:ascii="Times New Roman" w:eastAsia="宋体" w:hAnsi="Times New Roman" w:cs="Times New Roman"/>
          <w:sz w:val="28"/>
          <w:szCs w:val="28"/>
        </w:rPr>
        <w:t>万元。同时加油站将便利南环路沿线、生物医药产业园及</w:t>
      </w:r>
      <w:proofErr w:type="gramStart"/>
      <w:r w:rsidRPr="0056606B">
        <w:rPr>
          <w:rFonts w:ascii="Times New Roman" w:eastAsia="宋体" w:hAnsi="Times New Roman" w:cs="Times New Roman"/>
          <w:sz w:val="28"/>
          <w:szCs w:val="28"/>
        </w:rPr>
        <w:t>探花山</w:t>
      </w:r>
      <w:proofErr w:type="gramEnd"/>
      <w:r w:rsidRPr="0056606B">
        <w:rPr>
          <w:rFonts w:ascii="Times New Roman" w:eastAsia="宋体" w:hAnsi="Times New Roman" w:cs="Times New Roman"/>
          <w:sz w:val="28"/>
          <w:szCs w:val="28"/>
        </w:rPr>
        <w:t>工业区的油气供应，为企业的运输效率提效赋能，创造更大经济效益。</w:t>
      </w:r>
    </w:p>
    <w:p w14:paraId="63162464" w14:textId="77777777" w:rsidR="0056606B" w:rsidRPr="0056606B" w:rsidRDefault="0056606B" w:rsidP="00FA5319">
      <w:pPr>
        <w:ind w:firstLineChars="200" w:firstLine="560"/>
        <w:rPr>
          <w:rFonts w:ascii="Times New Roman" w:eastAsia="宋体" w:hAnsi="Times New Roman" w:cs="Times New Roman"/>
          <w:sz w:val="28"/>
          <w:szCs w:val="28"/>
        </w:rPr>
      </w:pPr>
      <w:r w:rsidRPr="0056606B">
        <w:rPr>
          <w:rFonts w:ascii="Times New Roman" w:eastAsia="宋体" w:hAnsi="Times New Roman" w:cs="Times New Roman" w:hint="eastAsia"/>
          <w:sz w:val="28"/>
          <w:szCs w:val="28"/>
        </w:rPr>
        <w:t>（三）社会效益</w:t>
      </w:r>
    </w:p>
    <w:p w14:paraId="637EFEEC" w14:textId="102FF741" w:rsidR="0056606B" w:rsidRPr="0056606B" w:rsidRDefault="0056606B" w:rsidP="00FA5319">
      <w:pPr>
        <w:ind w:firstLineChars="200"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1</w:t>
      </w:r>
      <w:r>
        <w:rPr>
          <w:rFonts w:ascii="Times New Roman" w:eastAsia="宋体" w:hAnsi="Times New Roman" w:cs="Times New Roman" w:hint="eastAsia"/>
          <w:sz w:val="28"/>
          <w:szCs w:val="28"/>
        </w:rPr>
        <w:t>、</w:t>
      </w:r>
      <w:r w:rsidRPr="0056606B">
        <w:rPr>
          <w:rFonts w:ascii="Times New Roman" w:eastAsia="宋体" w:hAnsi="Times New Roman" w:cs="Times New Roman" w:hint="eastAsia"/>
          <w:sz w:val="28"/>
          <w:szCs w:val="28"/>
        </w:rPr>
        <w:t>为人民群众提供便利</w:t>
      </w:r>
    </w:p>
    <w:p w14:paraId="1A068179" w14:textId="77777777" w:rsidR="0056606B" w:rsidRPr="0056606B" w:rsidRDefault="0056606B" w:rsidP="00FA5319">
      <w:pPr>
        <w:ind w:firstLineChars="200" w:firstLine="560"/>
        <w:rPr>
          <w:rFonts w:ascii="Times New Roman" w:eastAsia="宋体" w:hAnsi="Times New Roman" w:cs="Times New Roman"/>
          <w:sz w:val="28"/>
          <w:szCs w:val="28"/>
        </w:rPr>
      </w:pPr>
      <w:r w:rsidRPr="0056606B">
        <w:rPr>
          <w:rFonts w:ascii="Times New Roman" w:eastAsia="宋体" w:hAnsi="Times New Roman" w:cs="Times New Roman" w:hint="eastAsia"/>
          <w:sz w:val="28"/>
          <w:szCs w:val="28"/>
        </w:rPr>
        <w:t>截止目前永春县全县汽车保有量预计超过</w:t>
      </w:r>
      <w:r w:rsidRPr="0056606B">
        <w:rPr>
          <w:rFonts w:ascii="Times New Roman" w:eastAsia="宋体" w:hAnsi="Times New Roman" w:cs="Times New Roman"/>
          <w:sz w:val="28"/>
          <w:szCs w:val="28"/>
        </w:rPr>
        <w:t>9</w:t>
      </w:r>
      <w:r w:rsidRPr="0056606B">
        <w:rPr>
          <w:rFonts w:ascii="Times New Roman" w:eastAsia="宋体" w:hAnsi="Times New Roman" w:cs="Times New Roman"/>
          <w:sz w:val="28"/>
          <w:szCs w:val="28"/>
        </w:rPr>
        <w:t>万辆，并仍保持增长。伴随民用汽车保有量的增加，成品油的消费和需求也在稳步增加，作为汽车行驶保障供应环节的加油站已成为人民群众生活中的一部分。本方案所涉及加油站的建设，与永春人民对成品油的消费需求增长变化相适应，进一步便利了人们的用车出行，进而为永春人民创造一个更加舒适、便利和安全的交通环境。</w:t>
      </w:r>
    </w:p>
    <w:p w14:paraId="06A1BB5A" w14:textId="4693E3A2" w:rsidR="0056606B" w:rsidRPr="0056606B" w:rsidRDefault="0056606B" w:rsidP="00FA5319">
      <w:pPr>
        <w:ind w:firstLineChars="200" w:firstLine="560"/>
        <w:rPr>
          <w:rFonts w:ascii="Times New Roman" w:eastAsia="宋体" w:hAnsi="Times New Roman" w:cs="Times New Roman"/>
          <w:sz w:val="28"/>
          <w:szCs w:val="28"/>
        </w:rPr>
      </w:pPr>
      <w:r>
        <w:rPr>
          <w:rFonts w:ascii="Times New Roman" w:eastAsia="宋体" w:hAnsi="Times New Roman" w:cs="Times New Roman" w:hint="eastAsia"/>
          <w:sz w:val="28"/>
          <w:szCs w:val="28"/>
        </w:rPr>
        <w:t>2</w:t>
      </w:r>
      <w:r>
        <w:rPr>
          <w:rFonts w:ascii="Times New Roman" w:eastAsia="宋体" w:hAnsi="Times New Roman" w:cs="Times New Roman" w:hint="eastAsia"/>
          <w:sz w:val="28"/>
          <w:szCs w:val="28"/>
        </w:rPr>
        <w:t>、</w:t>
      </w:r>
      <w:r w:rsidRPr="0056606B">
        <w:rPr>
          <w:rFonts w:ascii="Times New Roman" w:eastAsia="宋体" w:hAnsi="Times New Roman" w:cs="Times New Roman" w:hint="eastAsia"/>
          <w:sz w:val="28"/>
          <w:szCs w:val="28"/>
        </w:rPr>
        <w:t>完善交通运输体系</w:t>
      </w:r>
    </w:p>
    <w:p w14:paraId="4A777797" w14:textId="059D2E9C" w:rsidR="0056606B" w:rsidRDefault="0056606B" w:rsidP="00FA5319">
      <w:pPr>
        <w:ind w:firstLineChars="200" w:firstLine="560"/>
        <w:rPr>
          <w:rFonts w:ascii="Times New Roman" w:eastAsia="宋体" w:hAnsi="Times New Roman" w:cs="Times New Roman"/>
          <w:sz w:val="28"/>
          <w:szCs w:val="28"/>
        </w:rPr>
      </w:pPr>
      <w:r w:rsidRPr="0056606B">
        <w:rPr>
          <w:rFonts w:ascii="Times New Roman" w:eastAsia="宋体" w:hAnsi="Times New Roman" w:cs="Times New Roman" w:hint="eastAsia"/>
          <w:sz w:val="28"/>
          <w:szCs w:val="28"/>
        </w:rPr>
        <w:t>南环路作为永春县重要的交通线之一，在整个交通运输体系中起到截流、分流和疏解的作用，因此于南环路建设加油站，进一步健全了交通基础服务设施，完善了交通运输体系的构成要件，增强了交通运输体系的服务能力，</w:t>
      </w:r>
      <w:r w:rsidRPr="0056606B">
        <w:rPr>
          <w:rFonts w:ascii="Times New Roman" w:eastAsia="宋体" w:hAnsi="Times New Roman" w:cs="Times New Roman" w:hint="eastAsia"/>
          <w:sz w:val="28"/>
          <w:szCs w:val="28"/>
        </w:rPr>
        <w:lastRenderedPageBreak/>
        <w:t>起到强化交通运输体系的“动脉”作用，对内提高整个城市交通的可通达性，对外提高人流物流效率，更好促进永春县的高质量发展。</w:t>
      </w:r>
    </w:p>
    <w:p w14:paraId="7344FF32" w14:textId="41BCEEA4" w:rsidR="001C205A" w:rsidRPr="00116AF4" w:rsidRDefault="0056606B" w:rsidP="00FA5319">
      <w:pPr>
        <w:pStyle w:val="a5"/>
        <w:ind w:firstLineChars="0" w:firstLine="0"/>
        <w:rPr>
          <w:rFonts w:ascii="Times New Roman" w:eastAsia="黑体" w:hAnsi="Times New Roman" w:cs="Times New Roman"/>
          <w:sz w:val="30"/>
          <w:szCs w:val="30"/>
        </w:rPr>
      </w:pPr>
      <w:r>
        <w:rPr>
          <w:rFonts w:ascii="Times New Roman" w:eastAsia="黑体" w:hAnsi="Times New Roman" w:cs="Times New Roman" w:hint="eastAsia"/>
          <w:sz w:val="30"/>
          <w:szCs w:val="30"/>
        </w:rPr>
        <w:t>八、</w:t>
      </w:r>
      <w:r w:rsidR="001C205A" w:rsidRPr="00116AF4">
        <w:rPr>
          <w:rFonts w:ascii="Times New Roman" w:eastAsia="黑体" w:hAnsi="Times New Roman" w:cs="Times New Roman"/>
          <w:sz w:val="30"/>
          <w:szCs w:val="30"/>
        </w:rPr>
        <w:t>结论</w:t>
      </w:r>
    </w:p>
    <w:p w14:paraId="38FF1395" w14:textId="77777777" w:rsidR="0012154C" w:rsidRDefault="0012154C" w:rsidP="00FA5319">
      <w:pPr>
        <w:ind w:firstLineChars="200" w:firstLine="560"/>
        <w:rPr>
          <w:rFonts w:ascii="Times New Roman" w:eastAsia="宋体" w:hAnsi="Times New Roman" w:cs="Times New Roman"/>
          <w:sz w:val="28"/>
          <w:szCs w:val="28"/>
        </w:rPr>
      </w:pPr>
      <w:r w:rsidRPr="0012154C">
        <w:rPr>
          <w:rFonts w:ascii="Times New Roman" w:eastAsia="宋体" w:hAnsi="Times New Roman" w:cs="Times New Roman" w:hint="eastAsia"/>
          <w:sz w:val="28"/>
          <w:szCs w:val="28"/>
        </w:rPr>
        <w:t>本土地征收成片开发方案符合国民经济和社会发展规划、专项规划，在土地利用总体规划确定的城镇建设用地范围内，已纳入国民经济和社会发展年度计划，</w:t>
      </w:r>
      <w:proofErr w:type="gramStart"/>
      <w:r w:rsidRPr="0012154C">
        <w:rPr>
          <w:rFonts w:ascii="Times New Roman" w:eastAsia="宋体" w:hAnsi="Times New Roman" w:cs="Times New Roman" w:hint="eastAsia"/>
          <w:sz w:val="28"/>
          <w:szCs w:val="28"/>
        </w:rPr>
        <w:t>符合部</w:t>
      </w:r>
      <w:proofErr w:type="gramEnd"/>
      <w:r w:rsidRPr="0012154C">
        <w:rPr>
          <w:rFonts w:ascii="Times New Roman" w:eastAsia="宋体" w:hAnsi="Times New Roman" w:cs="Times New Roman" w:hint="eastAsia"/>
          <w:sz w:val="28"/>
          <w:szCs w:val="28"/>
        </w:rPr>
        <w:t>省规定的标准，做到了保护耕地、维护农民合法权益、节约集约用地、保护生态环境，能够促进经济社会可持续发展。</w:t>
      </w:r>
    </w:p>
    <w:p w14:paraId="2C9EFCB1" w14:textId="77777777" w:rsidR="00327A3F" w:rsidRDefault="00327A3F">
      <w:pPr>
        <w:widowControl/>
        <w:jc w:val="left"/>
        <w:rPr>
          <w:rFonts w:ascii="Times New Roman" w:eastAsia="宋体" w:hAnsi="Times New Roman" w:cs="Times New Roman"/>
          <w:sz w:val="28"/>
          <w:szCs w:val="28"/>
        </w:rPr>
      </w:pPr>
      <w:r>
        <w:rPr>
          <w:rFonts w:ascii="Times New Roman" w:eastAsia="宋体" w:hAnsi="Times New Roman" w:cs="Times New Roman"/>
          <w:sz w:val="28"/>
          <w:szCs w:val="28"/>
        </w:rPr>
        <w:br w:type="page"/>
      </w:r>
    </w:p>
    <w:p w14:paraId="6A50E9AA" w14:textId="77777777" w:rsidR="00116AF4" w:rsidRDefault="00327A3F" w:rsidP="00327A3F">
      <w:pPr>
        <w:rPr>
          <w:rFonts w:ascii="Times New Roman" w:eastAsia="宋体" w:hAnsi="Times New Roman" w:cs="Times New Roman"/>
          <w:sz w:val="28"/>
          <w:szCs w:val="28"/>
        </w:rPr>
      </w:pPr>
      <w:r>
        <w:rPr>
          <w:rFonts w:ascii="Times New Roman" w:eastAsia="宋体" w:hAnsi="Times New Roman" w:cs="Times New Roman" w:hint="eastAsia"/>
          <w:sz w:val="28"/>
          <w:szCs w:val="28"/>
        </w:rPr>
        <w:lastRenderedPageBreak/>
        <w:t>附图</w:t>
      </w:r>
      <w:r>
        <w:rPr>
          <w:rFonts w:ascii="Times New Roman" w:eastAsia="宋体" w:hAnsi="Times New Roman" w:cs="Times New Roman" w:hint="eastAsia"/>
          <w:sz w:val="28"/>
          <w:szCs w:val="28"/>
        </w:rPr>
        <w:t>1</w:t>
      </w:r>
      <w:r>
        <w:rPr>
          <w:rFonts w:ascii="Times New Roman" w:eastAsia="宋体" w:hAnsi="Times New Roman" w:cs="Times New Roman" w:hint="eastAsia"/>
          <w:sz w:val="28"/>
          <w:szCs w:val="28"/>
        </w:rPr>
        <w:t>：位置示意图</w:t>
      </w:r>
    </w:p>
    <w:p w14:paraId="3D211705" w14:textId="77777777" w:rsidR="00280D77" w:rsidRDefault="00875730" w:rsidP="00875730">
      <w:pPr>
        <w:rPr>
          <w:rFonts w:ascii="Times New Roman" w:eastAsia="宋体" w:hAnsi="Times New Roman" w:cs="Times New Roman"/>
          <w:sz w:val="28"/>
          <w:szCs w:val="28"/>
        </w:rPr>
      </w:pPr>
      <w:r>
        <w:rPr>
          <w:rFonts w:ascii="Times New Roman" w:eastAsia="宋体" w:hAnsi="Times New Roman" w:cs="Times New Roman"/>
          <w:noProof/>
          <w:sz w:val="28"/>
          <w:szCs w:val="28"/>
        </w:rPr>
        <w:drawing>
          <wp:inline distT="0" distB="0" distL="0" distR="0" wp14:anchorId="397CE2C0" wp14:editId="71A3BDD0">
            <wp:extent cx="5971804" cy="844612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71804" cy="8446125"/>
                    </a:xfrm>
                    <a:prstGeom prst="rect">
                      <a:avLst/>
                    </a:prstGeom>
                  </pic:spPr>
                </pic:pic>
              </a:graphicData>
            </a:graphic>
          </wp:inline>
        </w:drawing>
      </w:r>
    </w:p>
    <w:sectPr w:rsidR="00280D77" w:rsidSect="001C205A">
      <w:pgSz w:w="11906" w:h="16838"/>
      <w:pgMar w:top="1418" w:right="1134" w:bottom="1134" w:left="1418"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A9DBF2" w14:textId="77777777" w:rsidR="0049668F" w:rsidRDefault="0049668F" w:rsidP="003464A5">
      <w:r>
        <w:separator/>
      </w:r>
    </w:p>
  </w:endnote>
  <w:endnote w:type="continuationSeparator" w:id="0">
    <w:p w14:paraId="66FFEBF6" w14:textId="77777777" w:rsidR="0049668F" w:rsidRDefault="0049668F" w:rsidP="003464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2E7275E" w14:textId="77777777" w:rsidR="0049668F" w:rsidRDefault="0049668F" w:rsidP="003464A5">
      <w:r>
        <w:separator/>
      </w:r>
    </w:p>
  </w:footnote>
  <w:footnote w:type="continuationSeparator" w:id="0">
    <w:p w14:paraId="4AEF36E5" w14:textId="77777777" w:rsidR="0049668F" w:rsidRDefault="0049668F" w:rsidP="003464A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252CDC"/>
    <w:multiLevelType w:val="hybridMultilevel"/>
    <w:tmpl w:val="5B182958"/>
    <w:lvl w:ilvl="0" w:tplc="8AE854D8">
      <w:start w:val="1"/>
      <w:numFmt w:val="japaneseCounting"/>
      <w:lvlText w:val="%1、"/>
      <w:lvlJc w:val="left"/>
      <w:pPr>
        <w:ind w:left="720" w:hanging="720"/>
      </w:pPr>
      <w:rPr>
        <w:rFonts w:hint="default"/>
      </w:rPr>
    </w:lvl>
    <w:lvl w:ilvl="1" w:tplc="04090017">
      <w:start w:val="1"/>
      <w:numFmt w:val="chineseCountingThousand"/>
      <w:lvlText w:val="(%2)"/>
      <w:lvlJc w:val="left"/>
      <w:pPr>
        <w:ind w:left="1245" w:hanging="825"/>
      </w:pPr>
      <w:rPr>
        <w:rFonts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3B335D8A"/>
    <w:multiLevelType w:val="hybridMultilevel"/>
    <w:tmpl w:val="DC1EF092"/>
    <w:lvl w:ilvl="0" w:tplc="232CBD90">
      <w:start w:val="1"/>
      <w:numFmt w:val="japaneseCounting"/>
      <w:lvlText w:val="(%1)"/>
      <w:lvlJc w:val="left"/>
      <w:pPr>
        <w:ind w:left="1131" w:hanging="705"/>
      </w:pPr>
      <w:rPr>
        <w:rFonts w:hint="default"/>
      </w:rPr>
    </w:lvl>
    <w:lvl w:ilvl="1" w:tplc="04090019" w:tentative="1">
      <w:start w:val="1"/>
      <w:numFmt w:val="lowerLetter"/>
      <w:lvlText w:val="%2)"/>
      <w:lvlJc w:val="left"/>
      <w:pPr>
        <w:ind w:left="1266" w:hanging="420"/>
      </w:pPr>
    </w:lvl>
    <w:lvl w:ilvl="2" w:tplc="0409001B" w:tentative="1">
      <w:start w:val="1"/>
      <w:numFmt w:val="lowerRoman"/>
      <w:lvlText w:val="%3."/>
      <w:lvlJc w:val="right"/>
      <w:pPr>
        <w:ind w:left="1686" w:hanging="420"/>
      </w:pPr>
    </w:lvl>
    <w:lvl w:ilvl="3" w:tplc="0409000F" w:tentative="1">
      <w:start w:val="1"/>
      <w:numFmt w:val="decimal"/>
      <w:lvlText w:val="%4."/>
      <w:lvlJc w:val="left"/>
      <w:pPr>
        <w:ind w:left="2106" w:hanging="420"/>
      </w:pPr>
    </w:lvl>
    <w:lvl w:ilvl="4" w:tplc="04090019" w:tentative="1">
      <w:start w:val="1"/>
      <w:numFmt w:val="lowerLetter"/>
      <w:lvlText w:val="%5)"/>
      <w:lvlJc w:val="left"/>
      <w:pPr>
        <w:ind w:left="2526" w:hanging="420"/>
      </w:pPr>
    </w:lvl>
    <w:lvl w:ilvl="5" w:tplc="0409001B" w:tentative="1">
      <w:start w:val="1"/>
      <w:numFmt w:val="lowerRoman"/>
      <w:lvlText w:val="%6."/>
      <w:lvlJc w:val="right"/>
      <w:pPr>
        <w:ind w:left="2946" w:hanging="420"/>
      </w:pPr>
    </w:lvl>
    <w:lvl w:ilvl="6" w:tplc="0409000F" w:tentative="1">
      <w:start w:val="1"/>
      <w:numFmt w:val="decimal"/>
      <w:lvlText w:val="%7."/>
      <w:lvlJc w:val="left"/>
      <w:pPr>
        <w:ind w:left="3366" w:hanging="420"/>
      </w:pPr>
    </w:lvl>
    <w:lvl w:ilvl="7" w:tplc="04090019" w:tentative="1">
      <w:start w:val="1"/>
      <w:numFmt w:val="lowerLetter"/>
      <w:lvlText w:val="%8)"/>
      <w:lvlJc w:val="left"/>
      <w:pPr>
        <w:ind w:left="3786" w:hanging="420"/>
      </w:pPr>
    </w:lvl>
    <w:lvl w:ilvl="8" w:tplc="0409001B" w:tentative="1">
      <w:start w:val="1"/>
      <w:numFmt w:val="lowerRoman"/>
      <w:lvlText w:val="%9."/>
      <w:lvlJc w:val="right"/>
      <w:pPr>
        <w:ind w:left="4206"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46"/>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D94EFE"/>
    <w:rsid w:val="0001728A"/>
    <w:rsid w:val="00086D4B"/>
    <w:rsid w:val="000B58FB"/>
    <w:rsid w:val="000C0351"/>
    <w:rsid w:val="000C30AE"/>
    <w:rsid w:val="000C4748"/>
    <w:rsid w:val="001140E1"/>
    <w:rsid w:val="00116803"/>
    <w:rsid w:val="00116AF4"/>
    <w:rsid w:val="0012154C"/>
    <w:rsid w:val="00137E4B"/>
    <w:rsid w:val="00140C28"/>
    <w:rsid w:val="001578C6"/>
    <w:rsid w:val="00164835"/>
    <w:rsid w:val="001A5B2E"/>
    <w:rsid w:val="001C205A"/>
    <w:rsid w:val="001E2A49"/>
    <w:rsid w:val="001E2E4D"/>
    <w:rsid w:val="001E574F"/>
    <w:rsid w:val="00271ADB"/>
    <w:rsid w:val="00280D77"/>
    <w:rsid w:val="002C1388"/>
    <w:rsid w:val="002C5257"/>
    <w:rsid w:val="002C57D7"/>
    <w:rsid w:val="002E3F15"/>
    <w:rsid w:val="00314052"/>
    <w:rsid w:val="00327A3F"/>
    <w:rsid w:val="003464A5"/>
    <w:rsid w:val="003A2795"/>
    <w:rsid w:val="003D2E9F"/>
    <w:rsid w:val="003E03B6"/>
    <w:rsid w:val="003F67A8"/>
    <w:rsid w:val="00434B4F"/>
    <w:rsid w:val="004411AB"/>
    <w:rsid w:val="0049668F"/>
    <w:rsid w:val="004D5D8F"/>
    <w:rsid w:val="00532CC1"/>
    <w:rsid w:val="0053506D"/>
    <w:rsid w:val="0056606B"/>
    <w:rsid w:val="0057133C"/>
    <w:rsid w:val="005845A1"/>
    <w:rsid w:val="005C59FA"/>
    <w:rsid w:val="005E171A"/>
    <w:rsid w:val="005E2963"/>
    <w:rsid w:val="00686E0A"/>
    <w:rsid w:val="006B0DF4"/>
    <w:rsid w:val="006B74EE"/>
    <w:rsid w:val="00710E9A"/>
    <w:rsid w:val="00723B2F"/>
    <w:rsid w:val="007649A7"/>
    <w:rsid w:val="00783E68"/>
    <w:rsid w:val="00786CC0"/>
    <w:rsid w:val="007C3811"/>
    <w:rsid w:val="00830B29"/>
    <w:rsid w:val="00847A4C"/>
    <w:rsid w:val="00854115"/>
    <w:rsid w:val="00874806"/>
    <w:rsid w:val="00875730"/>
    <w:rsid w:val="00881748"/>
    <w:rsid w:val="008B0EAE"/>
    <w:rsid w:val="0091322C"/>
    <w:rsid w:val="0093058A"/>
    <w:rsid w:val="00953B40"/>
    <w:rsid w:val="00966009"/>
    <w:rsid w:val="00974BB6"/>
    <w:rsid w:val="009973A2"/>
    <w:rsid w:val="009C575E"/>
    <w:rsid w:val="009D4240"/>
    <w:rsid w:val="009D4F8C"/>
    <w:rsid w:val="009E1B0F"/>
    <w:rsid w:val="00A620F5"/>
    <w:rsid w:val="00AD00DF"/>
    <w:rsid w:val="00B17A04"/>
    <w:rsid w:val="00B22D32"/>
    <w:rsid w:val="00B2715D"/>
    <w:rsid w:val="00B701BC"/>
    <w:rsid w:val="00B93A17"/>
    <w:rsid w:val="00BE669C"/>
    <w:rsid w:val="00D1518C"/>
    <w:rsid w:val="00D35701"/>
    <w:rsid w:val="00D567ED"/>
    <w:rsid w:val="00D835B9"/>
    <w:rsid w:val="00D94EFE"/>
    <w:rsid w:val="00DA2434"/>
    <w:rsid w:val="00DD346F"/>
    <w:rsid w:val="00E11A63"/>
    <w:rsid w:val="00E70AD3"/>
    <w:rsid w:val="00E73677"/>
    <w:rsid w:val="00E8049A"/>
    <w:rsid w:val="00E833CE"/>
    <w:rsid w:val="00EA3B62"/>
    <w:rsid w:val="00F67BC0"/>
    <w:rsid w:val="00FA531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89C5A6"/>
  <w15:docId w15:val="{798D3E7B-99FA-4A11-98D8-2DDAA89A3C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C205A"/>
    <w:pPr>
      <w:widowControl w:val="0"/>
      <w:jc w:val="both"/>
    </w:pPr>
    <w:rPr>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1C205A"/>
    <w:rPr>
      <w:sz w:val="18"/>
      <w:szCs w:val="18"/>
    </w:rPr>
  </w:style>
  <w:style w:type="character" w:customStyle="1" w:styleId="a4">
    <w:name w:val="批注框文本 字符"/>
    <w:basedOn w:val="a0"/>
    <w:link w:val="a3"/>
    <w:uiPriority w:val="99"/>
    <w:semiHidden/>
    <w:rsid w:val="001C205A"/>
    <w:rPr>
      <w:sz w:val="18"/>
      <w:szCs w:val="18"/>
    </w:rPr>
  </w:style>
  <w:style w:type="paragraph" w:styleId="a5">
    <w:name w:val="List Paragraph"/>
    <w:basedOn w:val="a"/>
    <w:uiPriority w:val="34"/>
    <w:qFormat/>
    <w:rsid w:val="001C205A"/>
    <w:pPr>
      <w:ind w:firstLineChars="200" w:firstLine="420"/>
    </w:pPr>
  </w:style>
  <w:style w:type="paragraph" w:styleId="a6">
    <w:name w:val="Document Map"/>
    <w:basedOn w:val="a"/>
    <w:link w:val="a7"/>
    <w:uiPriority w:val="99"/>
    <w:semiHidden/>
    <w:unhideWhenUsed/>
    <w:rsid w:val="000C30AE"/>
    <w:rPr>
      <w:rFonts w:ascii="宋体" w:eastAsia="宋体"/>
      <w:sz w:val="18"/>
      <w:szCs w:val="18"/>
    </w:rPr>
  </w:style>
  <w:style w:type="character" w:customStyle="1" w:styleId="a7">
    <w:name w:val="文档结构图 字符"/>
    <w:basedOn w:val="a0"/>
    <w:link w:val="a6"/>
    <w:uiPriority w:val="99"/>
    <w:semiHidden/>
    <w:rsid w:val="000C30AE"/>
    <w:rPr>
      <w:rFonts w:ascii="宋体" w:eastAsia="宋体"/>
      <w:sz w:val="18"/>
      <w:szCs w:val="18"/>
    </w:rPr>
  </w:style>
  <w:style w:type="paragraph" w:styleId="a8">
    <w:name w:val="header"/>
    <w:basedOn w:val="a"/>
    <w:link w:val="a9"/>
    <w:uiPriority w:val="99"/>
    <w:unhideWhenUsed/>
    <w:rsid w:val="003464A5"/>
    <w:pPr>
      <w:pBdr>
        <w:bottom w:val="single" w:sz="6" w:space="1" w:color="auto"/>
      </w:pBdr>
      <w:tabs>
        <w:tab w:val="center" w:pos="4153"/>
        <w:tab w:val="right" w:pos="8306"/>
      </w:tabs>
      <w:snapToGrid w:val="0"/>
      <w:jc w:val="center"/>
    </w:pPr>
    <w:rPr>
      <w:sz w:val="18"/>
      <w:szCs w:val="18"/>
    </w:rPr>
  </w:style>
  <w:style w:type="character" w:customStyle="1" w:styleId="a9">
    <w:name w:val="页眉 字符"/>
    <w:basedOn w:val="a0"/>
    <w:link w:val="a8"/>
    <w:uiPriority w:val="99"/>
    <w:rsid w:val="003464A5"/>
    <w:rPr>
      <w:sz w:val="18"/>
      <w:szCs w:val="18"/>
    </w:rPr>
  </w:style>
  <w:style w:type="paragraph" w:styleId="aa">
    <w:name w:val="footer"/>
    <w:basedOn w:val="a"/>
    <w:link w:val="ab"/>
    <w:uiPriority w:val="99"/>
    <w:unhideWhenUsed/>
    <w:rsid w:val="003464A5"/>
    <w:pPr>
      <w:tabs>
        <w:tab w:val="center" w:pos="4153"/>
        <w:tab w:val="right" w:pos="8306"/>
      </w:tabs>
      <w:snapToGrid w:val="0"/>
      <w:jc w:val="left"/>
    </w:pPr>
    <w:rPr>
      <w:sz w:val="18"/>
      <w:szCs w:val="18"/>
    </w:rPr>
  </w:style>
  <w:style w:type="character" w:customStyle="1" w:styleId="ab">
    <w:name w:val="页脚 字符"/>
    <w:basedOn w:val="a0"/>
    <w:link w:val="aa"/>
    <w:uiPriority w:val="99"/>
    <w:rsid w:val="003464A5"/>
    <w:rPr>
      <w:sz w:val="18"/>
      <w:szCs w:val="18"/>
    </w:rPr>
  </w:style>
  <w:style w:type="table" w:styleId="ac">
    <w:name w:val="Table Grid"/>
    <w:basedOn w:val="a1"/>
    <w:uiPriority w:val="39"/>
    <w:rsid w:val="00280D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6DC762-12FC-458A-A9C1-EF63FE93BB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1628</TotalTime>
  <Pages>6</Pages>
  <Words>387</Words>
  <Characters>2209</Characters>
  <Application>Microsoft Office Word</Application>
  <DocSecurity>0</DocSecurity>
  <Lines>18</Lines>
  <Paragraphs>5</Paragraphs>
  <ScaleCrop>false</ScaleCrop>
  <Company/>
  <LinksUpToDate>false</LinksUpToDate>
  <CharactersWithSpaces>2591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微软用户</dc:creator>
  <cp:keywords/>
  <dc:description/>
  <cp:lastModifiedBy>微软用户</cp:lastModifiedBy>
  <cp:revision>68</cp:revision>
  <dcterms:created xsi:type="dcterms:W3CDTF">2021-03-04T01:09:00Z</dcterms:created>
  <dcterms:modified xsi:type="dcterms:W3CDTF">2021-06-30T08:07:00Z</dcterms:modified>
</cp:coreProperties>
</file>