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113" w:rsidRPr="003B48C8" w:rsidRDefault="00980AEC" w:rsidP="003B48C8">
      <w:pPr>
        <w:overflowPunct w:val="0"/>
        <w:spacing w:line="600" w:lineRule="exact"/>
        <w:ind w:firstLineChars="0" w:firstLine="0"/>
        <w:jc w:val="center"/>
        <w:rPr>
          <w:rFonts w:ascii="方正小标宋简体" w:eastAsia="方正小标宋简体" w:hAnsi="华文楷体" w:cs="华文楷体"/>
          <w:b/>
          <w:bCs/>
          <w:sz w:val="44"/>
          <w:szCs w:val="44"/>
        </w:rPr>
      </w:pPr>
      <w:bookmarkStart w:id="0" w:name="_Toc7687"/>
      <w:bookmarkStart w:id="1" w:name="_Toc221774262"/>
      <w:bookmarkStart w:id="2" w:name="_Toc17909"/>
      <w:r w:rsidRPr="003B48C8">
        <w:rPr>
          <w:rFonts w:ascii="方正小标宋简体" w:eastAsia="方正小标宋简体" w:hAnsi="华文楷体" w:cs="华文楷体" w:hint="eastAsia"/>
          <w:b/>
          <w:bCs/>
          <w:sz w:val="44"/>
          <w:szCs w:val="44"/>
        </w:rPr>
        <w:t>永春县城南片区瀛内小区项目</w:t>
      </w:r>
    </w:p>
    <w:p w:rsidR="003B48C8" w:rsidRDefault="00980AEC" w:rsidP="003B48C8">
      <w:pPr>
        <w:overflowPunct w:val="0"/>
        <w:spacing w:line="600" w:lineRule="exact"/>
        <w:ind w:firstLineChars="0" w:firstLine="0"/>
        <w:jc w:val="center"/>
        <w:rPr>
          <w:rFonts w:ascii="方正小标宋简体" w:eastAsia="方正小标宋简体" w:hAnsi="华文楷体" w:cs="华文楷体"/>
          <w:b/>
          <w:bCs/>
          <w:sz w:val="44"/>
          <w:szCs w:val="44"/>
        </w:rPr>
      </w:pPr>
      <w:r w:rsidRPr="003B48C8">
        <w:rPr>
          <w:rFonts w:ascii="方正小标宋简体" w:eastAsia="方正小标宋简体" w:hAnsi="华文楷体" w:cs="华文楷体" w:hint="eastAsia"/>
          <w:b/>
          <w:bCs/>
          <w:sz w:val="44"/>
          <w:szCs w:val="44"/>
        </w:rPr>
        <w:t>土地征收成片开发</w:t>
      </w:r>
      <w:bookmarkStart w:id="3" w:name="_Toc24755"/>
      <w:bookmarkEnd w:id="0"/>
      <w:bookmarkEnd w:id="1"/>
      <w:bookmarkEnd w:id="2"/>
      <w:r w:rsidR="003B48C8">
        <w:rPr>
          <w:rFonts w:ascii="方正小标宋简体" w:eastAsia="方正小标宋简体" w:hAnsi="华文楷体" w:cs="华文楷体" w:hint="eastAsia"/>
          <w:b/>
          <w:bCs/>
          <w:sz w:val="44"/>
          <w:szCs w:val="44"/>
        </w:rPr>
        <w:t>方案（征求意见稿）</w:t>
      </w:r>
    </w:p>
    <w:p w:rsidR="003B48C8" w:rsidRPr="003B48C8" w:rsidRDefault="003B48C8" w:rsidP="003B48C8">
      <w:pPr>
        <w:pStyle w:val="1"/>
        <w:overflowPunct w:val="0"/>
        <w:ind w:firstLineChars="100" w:firstLine="320"/>
      </w:pPr>
    </w:p>
    <w:p w:rsidR="00EF5113" w:rsidRDefault="00980AEC" w:rsidP="008D270D">
      <w:pPr>
        <w:pStyle w:val="1"/>
        <w:overflowPunct w:val="0"/>
      </w:pPr>
      <w:r>
        <w:rPr>
          <w:rFonts w:hint="eastAsia"/>
        </w:rPr>
        <w:t>一、编制依据</w:t>
      </w:r>
      <w:bookmarkEnd w:id="3"/>
    </w:p>
    <w:p w:rsidR="00EF5113" w:rsidRDefault="00980AEC" w:rsidP="003B48C8">
      <w:pPr>
        <w:overflowPunct w:val="0"/>
        <w:spacing w:line="600" w:lineRule="exact"/>
      </w:pPr>
      <w:r>
        <w:rPr>
          <w:rFonts w:hint="eastAsia"/>
        </w:rPr>
        <w:t>根据《自然资源部关于印发</w:t>
      </w:r>
      <w:r>
        <w:rPr>
          <w:rFonts w:hint="eastAsia"/>
        </w:rPr>
        <w:t>&lt;</w:t>
      </w:r>
      <w:r>
        <w:rPr>
          <w:rFonts w:hint="eastAsia"/>
        </w:rPr>
        <w:t>土地征收成片开发标准（试行）</w:t>
      </w:r>
      <w:r>
        <w:rPr>
          <w:rFonts w:hint="eastAsia"/>
        </w:rPr>
        <w:t>&gt;</w:t>
      </w:r>
      <w:r>
        <w:rPr>
          <w:rFonts w:hint="eastAsia"/>
        </w:rPr>
        <w:t>的通知》（自然资规〔</w:t>
      </w:r>
      <w:r>
        <w:rPr>
          <w:rFonts w:hint="eastAsia"/>
        </w:rPr>
        <w:t>2020</w:t>
      </w:r>
      <w:r>
        <w:rPr>
          <w:rFonts w:hint="eastAsia"/>
        </w:rPr>
        <w:t>〕</w:t>
      </w:r>
      <w:r>
        <w:rPr>
          <w:rFonts w:hint="eastAsia"/>
        </w:rPr>
        <w:t>5</w:t>
      </w:r>
      <w:r>
        <w:rPr>
          <w:rFonts w:hint="eastAsia"/>
        </w:rPr>
        <w:t>号）、《福建省自然资源厅关于印发</w:t>
      </w:r>
      <w:r>
        <w:rPr>
          <w:rFonts w:hint="eastAsia"/>
        </w:rPr>
        <w:t>&lt;</w:t>
      </w:r>
      <w:r>
        <w:rPr>
          <w:rFonts w:hint="eastAsia"/>
        </w:rPr>
        <w:t>福建省土地征收成片开发方案报批实施细则（试行）</w:t>
      </w:r>
      <w:r>
        <w:rPr>
          <w:rFonts w:hint="eastAsia"/>
        </w:rPr>
        <w:t>&gt;</w:t>
      </w:r>
      <w:r>
        <w:rPr>
          <w:rFonts w:hint="eastAsia"/>
        </w:rPr>
        <w:t>的通知》（闽自然资发〔</w:t>
      </w:r>
      <w:r>
        <w:rPr>
          <w:rFonts w:hint="eastAsia"/>
        </w:rPr>
        <w:t>2021</w:t>
      </w:r>
      <w:r>
        <w:rPr>
          <w:rFonts w:hint="eastAsia"/>
        </w:rPr>
        <w:t>〕</w:t>
      </w:r>
      <w:r>
        <w:rPr>
          <w:rFonts w:hint="eastAsia"/>
        </w:rPr>
        <w:t>3</w:t>
      </w:r>
      <w:r>
        <w:rPr>
          <w:rFonts w:hint="eastAsia"/>
        </w:rPr>
        <w:t>号）、《福建省土地征收成片开发方案编制参考指南（试行）》（闽自然资发〔</w:t>
      </w:r>
      <w:r>
        <w:rPr>
          <w:rFonts w:hint="eastAsia"/>
        </w:rPr>
        <w:t>2021</w:t>
      </w:r>
      <w:r>
        <w:rPr>
          <w:rFonts w:hint="eastAsia"/>
        </w:rPr>
        <w:t>〕</w:t>
      </w:r>
      <w:r>
        <w:rPr>
          <w:rFonts w:hint="eastAsia"/>
        </w:rPr>
        <w:t>6</w:t>
      </w:r>
      <w:r>
        <w:rPr>
          <w:rFonts w:hint="eastAsia"/>
        </w:rPr>
        <w:t>号）以及</w:t>
      </w:r>
      <w:bookmarkStart w:id="4" w:name="_Toc1488368762"/>
      <w:bookmarkStart w:id="5" w:name="_Toc16931"/>
      <w:bookmarkStart w:id="6" w:name="_Toc1391"/>
      <w:r>
        <w:rPr>
          <w:rFonts w:hint="eastAsia"/>
        </w:rPr>
        <w:t>永春县现行国民经济和社会发展计划、年度计划等</w:t>
      </w:r>
      <w:r w:rsidRPr="003B48C8">
        <w:rPr>
          <w:rFonts w:hint="eastAsia"/>
        </w:rPr>
        <w:t>和其他相关规划及法律法规，组织编制本方案。</w:t>
      </w:r>
    </w:p>
    <w:p w:rsidR="00EF5113" w:rsidRDefault="00980AEC" w:rsidP="008D270D">
      <w:pPr>
        <w:pStyle w:val="1"/>
        <w:overflowPunct w:val="0"/>
      </w:pPr>
      <w:bookmarkStart w:id="7" w:name="_Toc15900"/>
      <w:bookmarkStart w:id="8" w:name="_Toc90282133"/>
      <w:bookmarkStart w:id="9" w:name="_Toc23784"/>
      <w:bookmarkStart w:id="10" w:name="_Toc23019"/>
      <w:bookmarkEnd w:id="4"/>
      <w:bookmarkEnd w:id="5"/>
      <w:bookmarkEnd w:id="6"/>
      <w:r>
        <w:rPr>
          <w:rFonts w:hint="eastAsia"/>
        </w:rPr>
        <w:t>二、基本情况</w:t>
      </w:r>
      <w:bookmarkEnd w:id="7"/>
      <w:bookmarkEnd w:id="8"/>
      <w:bookmarkEnd w:id="9"/>
      <w:bookmarkEnd w:id="10"/>
    </w:p>
    <w:p w:rsidR="00EF5113" w:rsidRDefault="003B48C8" w:rsidP="003B48C8">
      <w:pPr>
        <w:overflowPunct w:val="0"/>
        <w:spacing w:line="600" w:lineRule="exact"/>
      </w:pPr>
      <w:bookmarkStart w:id="11" w:name="_Toc19435"/>
      <w:bookmarkStart w:id="12" w:name="_Toc25383"/>
      <w:bookmarkStart w:id="13" w:name="_Toc416439689"/>
      <w:bookmarkStart w:id="14" w:name="_Toc20555"/>
      <w:r w:rsidRPr="003B48C8">
        <w:t>方案项目</w:t>
      </w:r>
      <w:r w:rsidR="00980AEC">
        <w:t>位于永春县</w:t>
      </w:r>
      <w:bookmarkStart w:id="15" w:name="_Hlk77925580"/>
      <w:r w:rsidR="00980AEC">
        <w:rPr>
          <w:rFonts w:hint="eastAsia"/>
        </w:rPr>
        <w:t>桃城镇桃溪社区北部。地块范围东临桃城社区与桃东社区，西临桃联社区，北临儒林社区。片区地块交通便捷，路网通透，东至桃溪路，南至中州路，西至桃源南路，北至鹏源路。</w:t>
      </w:r>
    </w:p>
    <w:p w:rsidR="00EF5113" w:rsidRDefault="00980AEC" w:rsidP="003B48C8">
      <w:pPr>
        <w:overflowPunct w:val="0"/>
        <w:spacing w:line="600" w:lineRule="exact"/>
      </w:pPr>
      <w:bookmarkStart w:id="16" w:name="_Hlk75331689"/>
      <w:bookmarkEnd w:id="15"/>
      <w:r>
        <w:t>本方案涉及永春县</w:t>
      </w:r>
      <w:r>
        <w:rPr>
          <w:rFonts w:hint="eastAsia"/>
        </w:rPr>
        <w:t>桃城镇桃溪社区</w:t>
      </w:r>
      <w:r>
        <w:t>，共</w:t>
      </w:r>
      <w:r>
        <w:rPr>
          <w:rFonts w:hint="eastAsia"/>
        </w:rPr>
        <w:t>1</w:t>
      </w:r>
      <w:r>
        <w:t>个镇</w:t>
      </w:r>
      <w:r>
        <w:rPr>
          <w:rFonts w:hint="eastAsia"/>
        </w:rPr>
        <w:t>1</w:t>
      </w:r>
      <w:r>
        <w:t>个</w:t>
      </w:r>
      <w:r>
        <w:rPr>
          <w:rFonts w:hint="eastAsia"/>
        </w:rPr>
        <w:t>社区</w:t>
      </w:r>
      <w:r>
        <w:t>；不涉及省级和国家级开发区。</w:t>
      </w:r>
    </w:p>
    <w:p w:rsidR="00EF5113" w:rsidRDefault="00980AEC" w:rsidP="003B48C8">
      <w:pPr>
        <w:widowControl/>
        <w:overflowPunct w:val="0"/>
        <w:spacing w:line="600" w:lineRule="exact"/>
        <w:jc w:val="left"/>
        <w:rPr>
          <w:color w:val="000000" w:themeColor="text1"/>
        </w:rPr>
      </w:pPr>
      <w:r>
        <w:rPr>
          <w:color w:val="000000" w:themeColor="text1"/>
        </w:rPr>
        <w:t>根据实地勘测调查，本方案成片开发范围总面积</w:t>
      </w:r>
      <w:r>
        <w:rPr>
          <w:rFonts w:hint="eastAsia"/>
          <w:color w:val="000000" w:themeColor="text1"/>
        </w:rPr>
        <w:t>4.8872</w:t>
      </w:r>
      <w:r>
        <w:rPr>
          <w:color w:val="000000" w:themeColor="text1"/>
        </w:rPr>
        <w:t>公顷</w:t>
      </w:r>
      <w:r>
        <w:rPr>
          <w:rFonts w:hint="eastAsia"/>
          <w:color w:val="000000" w:themeColor="text1"/>
        </w:rPr>
        <w:t>，其中：</w:t>
      </w:r>
      <w:r>
        <w:rPr>
          <w:color w:val="000000" w:themeColor="text1"/>
        </w:rPr>
        <w:t>建设用地</w:t>
      </w:r>
      <w:r>
        <w:rPr>
          <w:rFonts w:hint="eastAsia"/>
          <w:color w:val="000000" w:themeColor="text1"/>
        </w:rPr>
        <w:t>4.8872</w:t>
      </w:r>
      <w:r>
        <w:rPr>
          <w:color w:val="000000" w:themeColor="text1"/>
        </w:rPr>
        <w:t>公顷，</w:t>
      </w:r>
      <w:r>
        <w:rPr>
          <w:rFonts w:hint="eastAsia"/>
          <w:color w:val="000000" w:themeColor="text1"/>
        </w:rPr>
        <w:t>无农用地</w:t>
      </w:r>
      <w:r w:rsidRPr="003B48C8">
        <w:rPr>
          <w:rFonts w:hint="eastAsia"/>
          <w:color w:val="000000" w:themeColor="text1"/>
        </w:rPr>
        <w:t>与</w:t>
      </w:r>
      <w:r>
        <w:rPr>
          <w:color w:val="000000" w:themeColor="text1"/>
        </w:rPr>
        <w:t>未利用</w:t>
      </w:r>
      <w:r>
        <w:rPr>
          <w:rFonts w:hint="eastAsia"/>
          <w:color w:val="000000" w:themeColor="text1"/>
        </w:rPr>
        <w:t>土地</w:t>
      </w:r>
      <w:bookmarkEnd w:id="16"/>
      <w:r>
        <w:rPr>
          <w:rFonts w:hint="eastAsia"/>
          <w:color w:val="000000" w:themeColor="text1"/>
        </w:rPr>
        <w:t>。</w:t>
      </w:r>
    </w:p>
    <w:p w:rsidR="00EF5113" w:rsidRDefault="00980AEC" w:rsidP="008D270D">
      <w:pPr>
        <w:pStyle w:val="1"/>
        <w:overflowPunct w:val="0"/>
      </w:pPr>
      <w:r>
        <w:rPr>
          <w:rFonts w:hint="eastAsia"/>
        </w:rPr>
        <w:lastRenderedPageBreak/>
        <w:t>三、必要性</w:t>
      </w:r>
      <w:bookmarkEnd w:id="11"/>
      <w:bookmarkEnd w:id="12"/>
      <w:bookmarkEnd w:id="13"/>
      <w:bookmarkEnd w:id="14"/>
    </w:p>
    <w:p w:rsidR="00EF5113" w:rsidRDefault="00980AEC" w:rsidP="003B48C8">
      <w:pPr>
        <w:pStyle w:val="3"/>
        <w:overflowPunct w:val="0"/>
        <w:ind w:firstLine="643"/>
      </w:pPr>
      <w:bookmarkStart w:id="17" w:name="_Toc21429"/>
      <w:r>
        <w:rPr>
          <w:rFonts w:hint="eastAsia"/>
        </w:rPr>
        <w:t>1.</w:t>
      </w:r>
      <w:r>
        <w:rPr>
          <w:rFonts w:hint="eastAsia"/>
        </w:rPr>
        <w:t>满足</w:t>
      </w:r>
      <w:r>
        <w:t>提升人居环境，打造城乡宜居建设新面貌</w:t>
      </w:r>
      <w:r>
        <w:rPr>
          <w:rFonts w:hint="eastAsia"/>
        </w:rPr>
        <w:t>的需求</w:t>
      </w:r>
    </w:p>
    <w:p w:rsidR="00EF5113" w:rsidRDefault="00980AEC" w:rsidP="003B48C8">
      <w:pPr>
        <w:overflowPunct w:val="0"/>
        <w:spacing w:line="600" w:lineRule="exact"/>
      </w:pPr>
      <w:r>
        <w:rPr>
          <w:rFonts w:hint="eastAsia"/>
        </w:rPr>
        <w:t>此方案</w:t>
      </w:r>
      <w:r>
        <w:t>积极实施新一轮城乡人居环境提升行动，</w:t>
      </w:r>
      <w:r>
        <w:rPr>
          <w:rFonts w:hint="eastAsia"/>
        </w:rPr>
        <w:t>永春县“十四五”规划提出：打造</w:t>
      </w:r>
      <w:r>
        <w:t>具备</w:t>
      </w:r>
      <w:r>
        <w:t>“</w:t>
      </w:r>
      <w:r>
        <w:t>山水名城、特色乡镇、美丽乡村</w:t>
      </w:r>
      <w:r>
        <w:t>”</w:t>
      </w:r>
      <w:r>
        <w:t>特色的新型城镇化永春模板，着力改善城乡环境质量，打造完善生态宜居、美丽幸福的城乡协调发展局面</w:t>
      </w:r>
      <w:r>
        <w:rPr>
          <w:rFonts w:hint="eastAsia"/>
        </w:rPr>
        <w:t>拟打造</w:t>
      </w:r>
      <w:r>
        <w:t>桃溪流域</w:t>
      </w:r>
      <w:r>
        <w:t>“</w:t>
      </w:r>
      <w:r>
        <w:t>慢生活</w:t>
      </w:r>
      <w:r>
        <w:t>”</w:t>
      </w:r>
      <w:r>
        <w:t>乡村休闲旅游带</w:t>
      </w:r>
      <w:r>
        <w:rPr>
          <w:rFonts w:hint="eastAsia"/>
        </w:rPr>
        <w:t>项目，可以满足居民游憩、锻炼的需求，优美的环境与良好的空气质量也能使居民身心愉悦。</w:t>
      </w:r>
    </w:p>
    <w:p w:rsidR="00EF5113" w:rsidRDefault="00980AEC" w:rsidP="003B48C8">
      <w:pPr>
        <w:overflowPunct w:val="0"/>
        <w:spacing w:line="600" w:lineRule="exact"/>
      </w:pPr>
      <w:r>
        <w:rPr>
          <w:rFonts w:hint="eastAsia"/>
        </w:rPr>
        <w:t>此方案周边生态环境优美，西侧与象山寨公园直线距离不到</w:t>
      </w:r>
      <w:r>
        <w:rPr>
          <w:rFonts w:hint="eastAsia"/>
        </w:rPr>
        <w:t>300</w:t>
      </w:r>
      <w:r>
        <w:rPr>
          <w:rFonts w:hint="eastAsia"/>
        </w:rPr>
        <w:t>米，东面与桃溪直线距离不到</w:t>
      </w:r>
      <w:r>
        <w:rPr>
          <w:rFonts w:hint="eastAsia"/>
        </w:rPr>
        <w:t>500</w:t>
      </w:r>
      <w:r>
        <w:rPr>
          <w:rFonts w:hint="eastAsia"/>
        </w:rPr>
        <w:t>米；人文气息浓厚，周边有开元寺、护界宫、龙山寺等人文景观。项目地块满足生态与人文环境条件，能够落实规划，为居民建设一个宜居住、高质量、便通行的生态居住场所。充分发挥地块价值，提升居民幸福感。</w:t>
      </w:r>
    </w:p>
    <w:p w:rsidR="00EF5113" w:rsidRDefault="00980AEC" w:rsidP="003B48C8">
      <w:pPr>
        <w:pStyle w:val="3"/>
        <w:overflowPunct w:val="0"/>
        <w:ind w:firstLine="643"/>
      </w:pPr>
      <w:r>
        <w:rPr>
          <w:rFonts w:hint="eastAsia"/>
        </w:rPr>
        <w:t>2.</w:t>
      </w:r>
      <w:r>
        <w:rPr>
          <w:rFonts w:hint="eastAsia"/>
        </w:rPr>
        <w:t>满足促进人口聚集，提升城市品质的需求</w:t>
      </w:r>
    </w:p>
    <w:p w:rsidR="00EF5113" w:rsidRDefault="00980AEC" w:rsidP="003B48C8">
      <w:pPr>
        <w:overflowPunct w:val="0"/>
        <w:snapToGrid w:val="0"/>
        <w:spacing w:line="600" w:lineRule="exact"/>
        <w:rPr>
          <w:rFonts w:ascii="Times New Roman" w:eastAsia="仿宋_GB2312" w:hAnsi="Times New Roman" w:cs="Times New Roman"/>
          <w:szCs w:val="32"/>
        </w:rPr>
      </w:pPr>
      <w:r>
        <w:rPr>
          <w:rFonts w:ascii="Times New Roman" w:eastAsia="仿宋_GB2312" w:hAnsi="Times New Roman" w:cs="Times New Roman"/>
          <w:szCs w:val="32"/>
        </w:rPr>
        <w:t>本方案</w:t>
      </w:r>
      <w:r>
        <w:rPr>
          <w:rFonts w:ascii="Times New Roman" w:eastAsia="仿宋_GB2312" w:hAnsi="Times New Roman" w:cs="Times New Roman" w:hint="eastAsia"/>
          <w:szCs w:val="32"/>
        </w:rPr>
        <w:t>位于永春县城较为中心的地段，区位优势明显，发展前景较好。</w:t>
      </w:r>
      <w:r>
        <w:rPr>
          <w:rFonts w:ascii="Times New Roman" w:eastAsia="仿宋_GB2312" w:hAnsi="Times New Roman" w:cs="Times New Roman"/>
          <w:szCs w:val="32"/>
        </w:rPr>
        <w:t>通过实施成片开发，统一规划，充分运用地理区位优势，促进生产空间集约高效、生活空间宜居适度，</w:t>
      </w:r>
      <w:r>
        <w:rPr>
          <w:rFonts w:ascii="Times New Roman" w:eastAsia="仿宋_GB2312" w:hAnsi="Times New Roman" w:cs="Times New Roman" w:hint="eastAsia"/>
          <w:szCs w:val="32"/>
        </w:rPr>
        <w:t>提升地区吸纳就业、聚集人口的能力。在一定程度上</w:t>
      </w:r>
      <w:r>
        <w:rPr>
          <w:rFonts w:ascii="Times New Roman" w:eastAsia="仿宋_GB2312" w:hAnsi="Times New Roman" w:cs="Times New Roman"/>
          <w:szCs w:val="32"/>
        </w:rPr>
        <w:t>增强城市综合承载力。</w:t>
      </w:r>
      <w:r>
        <w:rPr>
          <w:rFonts w:ascii="Times New Roman" w:eastAsia="仿宋_GB2312" w:hAnsi="Times New Roman" w:cs="Times New Roman" w:hint="eastAsia"/>
          <w:szCs w:val="32"/>
        </w:rPr>
        <w:t>项目建设能够提升</w:t>
      </w:r>
      <w:r>
        <w:rPr>
          <w:rFonts w:ascii="Times New Roman" w:eastAsia="仿宋_GB2312" w:hAnsi="Times New Roman" w:cs="Times New Roman"/>
          <w:szCs w:val="32"/>
        </w:rPr>
        <w:t>路网、管网、绿地等配套建设</w:t>
      </w:r>
      <w:r>
        <w:rPr>
          <w:rFonts w:ascii="Times New Roman" w:eastAsia="仿宋_GB2312" w:hAnsi="Times New Roman" w:cs="Times New Roman" w:hint="eastAsia"/>
          <w:szCs w:val="32"/>
        </w:rPr>
        <w:t>的使用效率</w:t>
      </w:r>
      <w:r>
        <w:rPr>
          <w:rFonts w:ascii="Times New Roman" w:eastAsia="仿宋_GB2312" w:hAnsi="Times New Roman" w:cs="Times New Roman"/>
          <w:szCs w:val="32"/>
        </w:rPr>
        <w:t>，</w:t>
      </w:r>
      <w:r>
        <w:rPr>
          <w:rFonts w:ascii="Times New Roman" w:eastAsia="仿宋_GB2312" w:hAnsi="Times New Roman" w:cs="Times New Roman" w:hint="eastAsia"/>
          <w:szCs w:val="32"/>
        </w:rPr>
        <w:t>使</w:t>
      </w:r>
      <w:r>
        <w:rPr>
          <w:rFonts w:ascii="Times New Roman" w:eastAsia="仿宋_GB2312" w:hAnsi="Times New Roman" w:cs="Times New Roman"/>
          <w:szCs w:val="32"/>
        </w:rPr>
        <w:t>开发区</w:t>
      </w:r>
      <w:r>
        <w:rPr>
          <w:rFonts w:ascii="Times New Roman" w:eastAsia="仿宋_GB2312" w:hAnsi="Times New Roman" w:cs="Times New Roman" w:hint="eastAsia"/>
          <w:szCs w:val="32"/>
        </w:rPr>
        <w:t>城市服务配套设施得到合理利用，使片区</w:t>
      </w:r>
      <w:r>
        <w:rPr>
          <w:rFonts w:ascii="Times New Roman" w:eastAsia="仿宋_GB2312" w:hAnsi="Times New Roman" w:cs="Times New Roman"/>
          <w:szCs w:val="32"/>
        </w:rPr>
        <w:t>内居民的人居环境</w:t>
      </w:r>
      <w:r>
        <w:rPr>
          <w:rFonts w:ascii="Times New Roman" w:eastAsia="仿宋_GB2312" w:hAnsi="Times New Roman" w:cs="Times New Roman" w:hint="eastAsia"/>
          <w:szCs w:val="32"/>
        </w:rPr>
        <w:t>更为融洽</w:t>
      </w:r>
      <w:r>
        <w:rPr>
          <w:rFonts w:ascii="Times New Roman" w:eastAsia="仿宋_GB2312" w:hAnsi="Times New Roman" w:cs="Times New Roman"/>
          <w:szCs w:val="32"/>
        </w:rPr>
        <w:t>，提高居民生活品质和城市品位，</w:t>
      </w:r>
      <w:r>
        <w:rPr>
          <w:rFonts w:ascii="Times New Roman" w:eastAsia="仿宋_GB2312" w:hAnsi="Times New Roman" w:cs="Times New Roman" w:hint="eastAsia"/>
          <w:szCs w:val="32"/>
        </w:rPr>
        <w:t>有效利用</w:t>
      </w:r>
      <w:r>
        <w:rPr>
          <w:rFonts w:ascii="Times New Roman" w:eastAsia="仿宋_GB2312" w:hAnsi="Times New Roman" w:cs="Times New Roman"/>
          <w:szCs w:val="32"/>
        </w:rPr>
        <w:t>城镇基础设施，切实让城市建设发展成果惠及百姓，增加居民幸福感。</w:t>
      </w:r>
    </w:p>
    <w:p w:rsidR="00EF5113" w:rsidRDefault="00980AEC" w:rsidP="003B48C8">
      <w:pPr>
        <w:overflowPunct w:val="0"/>
        <w:spacing w:line="600" w:lineRule="exact"/>
        <w:rPr>
          <w:rFonts w:ascii="仿宋" w:hAnsi="仿宋" w:cs="仿宋"/>
          <w:color w:val="000000"/>
          <w:kern w:val="0"/>
          <w:szCs w:val="28"/>
        </w:rPr>
      </w:pPr>
      <w:r>
        <w:rPr>
          <w:rFonts w:hint="eastAsia"/>
        </w:rPr>
        <w:t>本次成片开发方案以居住用地为主，通过周边公共景观服务</w:t>
      </w:r>
      <w:r>
        <w:rPr>
          <w:rFonts w:hint="eastAsia"/>
        </w:rPr>
        <w:lastRenderedPageBreak/>
        <w:t>带构建，确保有多样化的活动，实现资源共享；带动居住、行政、教育的开发建设，提升土地价值与城市竞争力</w:t>
      </w:r>
      <w:r>
        <w:rPr>
          <w:rFonts w:ascii="仿宋" w:hAnsi="仿宋" w:cs="仿宋" w:hint="eastAsia"/>
          <w:color w:val="000000"/>
          <w:kern w:val="0"/>
          <w:szCs w:val="28"/>
        </w:rPr>
        <w:t xml:space="preserve">。 </w:t>
      </w:r>
    </w:p>
    <w:p w:rsidR="00EF5113" w:rsidRDefault="00980AEC" w:rsidP="003B48C8">
      <w:pPr>
        <w:pStyle w:val="3"/>
        <w:overflowPunct w:val="0"/>
        <w:ind w:firstLine="643"/>
      </w:pPr>
      <w:r>
        <w:rPr>
          <w:rFonts w:hint="eastAsia"/>
        </w:rPr>
        <w:t>3.</w:t>
      </w:r>
      <w:bookmarkStart w:id="18" w:name="_Toc554"/>
      <w:r>
        <w:t>是提高土地利用效率，充分挖掘土地价值的需要</w:t>
      </w:r>
      <w:bookmarkEnd w:id="18"/>
    </w:p>
    <w:p w:rsidR="00EF5113" w:rsidRDefault="00980AEC" w:rsidP="003B48C8">
      <w:pPr>
        <w:overflowPunct w:val="0"/>
        <w:spacing w:line="600" w:lineRule="exact"/>
      </w:pPr>
      <w:r>
        <w:t>为了更有效地实现对本片区的开发建设，实现社会、环境、经济效益并举的目的，本次成片开发在衔接已编规划和已批项目基础上，重点解决本片区用地限制与城市建设之间的矛盾以及如何用好增量等问题。为进一步提高土地利用效率，改善生活环境、提高群众幸福感和满意度，本次成片开发通过合理布局，</w:t>
      </w:r>
      <w:r>
        <w:rPr>
          <w:rFonts w:hint="eastAsia"/>
        </w:rPr>
        <w:t>充分发挥城市边角地块的价值，</w:t>
      </w:r>
      <w:r>
        <w:t>节约集约用地，挖掘土地价值，提高土地利用效率，提升人居环境品质，为</w:t>
      </w:r>
      <w:r>
        <w:rPr>
          <w:rFonts w:hint="eastAsia"/>
        </w:rPr>
        <w:t>永春县</w:t>
      </w:r>
      <w:r>
        <w:t>发展储备后续力量。</w:t>
      </w:r>
    </w:p>
    <w:p w:rsidR="00EF5113" w:rsidRDefault="00980AEC" w:rsidP="003B48C8">
      <w:pPr>
        <w:overflowPunct w:val="0"/>
        <w:spacing w:line="600" w:lineRule="exact"/>
      </w:pPr>
      <w:r>
        <w:rPr>
          <w:rFonts w:hint="eastAsia"/>
        </w:rPr>
        <w:t>随着城镇化进程不断加快，主要公共资源及投资便集中在中心城区，从而导致中心城区成为全区经济、政治、文化、公共服务供给的核心，对外围乡镇有着绝对的极化吸引力，人口向中心城区集聚趋势明显，城镇化快速推进阶段的“加速期”，中小城市将成为提升城市化质量、推进人口城镇化的主要载体。进入新常态的发展阶段，城镇化将迎来从规模城镇化向人口城镇化的转变，建设用地的需求越来越紧迫。顺应《永春县国民经济和社会发展第十四个五年规划和二〇三五年远景目标纲要》等上位规划落地的需要</w:t>
      </w:r>
      <w:r>
        <w:t>，</w:t>
      </w:r>
      <w:r>
        <w:rPr>
          <w:rFonts w:hint="eastAsia"/>
        </w:rPr>
        <w:t>有利于实现永春县高质量发展。</w:t>
      </w:r>
    </w:p>
    <w:p w:rsidR="00EF5113" w:rsidRDefault="00980AEC" w:rsidP="003B48C8">
      <w:pPr>
        <w:pStyle w:val="1"/>
        <w:numPr>
          <w:ilvl w:val="0"/>
          <w:numId w:val="1"/>
        </w:numPr>
        <w:overflowPunct w:val="0"/>
      </w:pPr>
      <w:r>
        <w:rPr>
          <w:rFonts w:hint="eastAsia"/>
        </w:rPr>
        <w:t>主要用途、实现功能及公益性用地比例</w:t>
      </w:r>
      <w:bookmarkEnd w:id="17"/>
    </w:p>
    <w:p w:rsidR="00EF5113" w:rsidRDefault="00980AEC" w:rsidP="008D270D">
      <w:pPr>
        <w:overflowPunct w:val="0"/>
        <w:spacing w:afterLines="50" w:line="600" w:lineRule="exact"/>
      </w:pPr>
      <w:r>
        <w:t>本方案用地总面积</w:t>
      </w:r>
      <w:r>
        <w:rPr>
          <w:rFonts w:hint="eastAsia"/>
        </w:rPr>
        <w:t>4.8872</w:t>
      </w:r>
      <w:r>
        <w:t>公顷，主要用途为</w:t>
      </w:r>
      <w:r>
        <w:rPr>
          <w:rFonts w:hint="eastAsia"/>
        </w:rPr>
        <w:t>居住用地与机关团体用地</w:t>
      </w:r>
      <w:r>
        <w:t>。其</w:t>
      </w:r>
      <w:r>
        <w:rPr>
          <w:rFonts w:hint="eastAsia"/>
        </w:rPr>
        <w:t>中，居住用地</w:t>
      </w:r>
      <w:r>
        <w:rPr>
          <w:rFonts w:hint="eastAsia"/>
        </w:rPr>
        <w:t>1.9612</w:t>
      </w:r>
      <w:r>
        <w:rPr>
          <w:rFonts w:hint="eastAsia"/>
        </w:rPr>
        <w:t>公顷，实现居住性用房功能；机关团体新闻出版用地</w:t>
      </w:r>
      <w:r>
        <w:rPr>
          <w:rFonts w:hint="eastAsia"/>
        </w:rPr>
        <w:t>0.9088</w:t>
      </w:r>
      <w:r>
        <w:rPr>
          <w:rFonts w:hint="eastAsia"/>
        </w:rPr>
        <w:t>公顷，实现国家机关、相关</w:t>
      </w:r>
      <w:r>
        <w:rPr>
          <w:rFonts w:hint="eastAsia"/>
        </w:rPr>
        <w:lastRenderedPageBreak/>
        <w:t>社会团体以及相关社团的办公功能；城镇道路用地</w:t>
      </w:r>
      <w:r>
        <w:rPr>
          <w:rFonts w:hint="eastAsia"/>
        </w:rPr>
        <w:t>0.3924</w:t>
      </w:r>
      <w:r>
        <w:rPr>
          <w:rFonts w:hint="eastAsia"/>
        </w:rPr>
        <w:t>公顷，实现居民交通便利功能；与公路用地为</w:t>
      </w:r>
      <w:r>
        <w:rPr>
          <w:rFonts w:hint="eastAsia"/>
        </w:rPr>
        <w:t>1.5283</w:t>
      </w:r>
      <w:r>
        <w:rPr>
          <w:rFonts w:hint="eastAsia"/>
        </w:rPr>
        <w:t>公顷，实现公共交通功能；公园用地</w:t>
      </w:r>
      <w:r>
        <w:rPr>
          <w:rFonts w:hint="eastAsia"/>
        </w:rPr>
        <w:t>0.0965</w:t>
      </w:r>
      <w:r>
        <w:rPr>
          <w:rFonts w:hint="eastAsia"/>
        </w:rPr>
        <w:t>公顷，实现绿化环境、美化环境、隔离噪音、减少污染、休憩娱乐功能。公益性用地有机关团体用地</w:t>
      </w:r>
      <w:r>
        <w:rPr>
          <w:rFonts w:hint="eastAsia"/>
        </w:rPr>
        <w:t>0.9088</w:t>
      </w:r>
      <w:r>
        <w:rPr>
          <w:rFonts w:hint="eastAsia"/>
        </w:rPr>
        <w:t>公顷，公园用地</w:t>
      </w:r>
      <w:r>
        <w:rPr>
          <w:rFonts w:hint="eastAsia"/>
        </w:rPr>
        <w:t>0.0965</w:t>
      </w:r>
      <w:r>
        <w:rPr>
          <w:rFonts w:hint="eastAsia"/>
        </w:rPr>
        <w:t>公顷，城镇道路用地</w:t>
      </w:r>
      <w:r>
        <w:rPr>
          <w:rFonts w:hint="eastAsia"/>
        </w:rPr>
        <w:t>0.3924</w:t>
      </w:r>
      <w:r>
        <w:rPr>
          <w:rFonts w:hint="eastAsia"/>
        </w:rPr>
        <w:t>公顷与公路用地</w:t>
      </w:r>
      <w:r>
        <w:rPr>
          <w:rFonts w:hint="eastAsia"/>
        </w:rPr>
        <w:t>1.5283</w:t>
      </w:r>
      <w:r>
        <w:rPr>
          <w:rFonts w:hint="eastAsia"/>
        </w:rPr>
        <w:t>公顷，合计</w:t>
      </w:r>
      <w:r>
        <w:rPr>
          <w:rFonts w:hint="eastAsia"/>
        </w:rPr>
        <w:t>2.9260</w:t>
      </w:r>
      <w:r>
        <w:rPr>
          <w:rFonts w:hint="eastAsia"/>
        </w:rPr>
        <w:t>公顷，占用地总面积的</w:t>
      </w:r>
      <w:r>
        <w:rPr>
          <w:rFonts w:hint="eastAsia"/>
        </w:rPr>
        <w:t>59.87%</w:t>
      </w:r>
      <w:r>
        <w:t>。符合自然资规〔</w:t>
      </w:r>
      <w:r>
        <w:t>2020</w:t>
      </w:r>
      <w:r>
        <w:t>〕</w:t>
      </w:r>
      <w:r>
        <w:t>5</w:t>
      </w:r>
      <w:r>
        <w:t>号文规定。</w:t>
      </w:r>
    </w:p>
    <w:p w:rsidR="00EF5113" w:rsidRDefault="00980AEC" w:rsidP="008D270D">
      <w:pPr>
        <w:pStyle w:val="1"/>
        <w:overflowPunct w:val="0"/>
        <w:ind w:firstLineChars="250" w:firstLine="800"/>
      </w:pPr>
      <w:r>
        <w:rPr>
          <w:rFonts w:hint="eastAsia"/>
        </w:rPr>
        <w:t>五、效益评估</w:t>
      </w:r>
    </w:p>
    <w:p w:rsidR="00EF5113" w:rsidRDefault="00980AEC" w:rsidP="003B48C8">
      <w:pPr>
        <w:pStyle w:val="2"/>
        <w:overflowPunct w:val="0"/>
        <w:ind w:firstLine="641"/>
      </w:pPr>
      <w:bookmarkStart w:id="19" w:name="_Toc21676"/>
      <w:bookmarkStart w:id="20" w:name="_Toc17838"/>
      <w:bookmarkStart w:id="21" w:name="_Toc15003"/>
      <w:bookmarkStart w:id="22" w:name="_Toc3242"/>
      <w:bookmarkStart w:id="23" w:name="_Toc3579"/>
      <w:r>
        <w:rPr>
          <w:rFonts w:hint="eastAsia"/>
        </w:rPr>
        <w:t>（一）土地利用效益</w:t>
      </w:r>
      <w:bookmarkEnd w:id="19"/>
      <w:bookmarkEnd w:id="20"/>
    </w:p>
    <w:p w:rsidR="00EF5113" w:rsidRDefault="00980AEC" w:rsidP="003B48C8">
      <w:pPr>
        <w:overflowPunct w:val="0"/>
        <w:spacing w:line="600" w:lineRule="exact"/>
      </w:pPr>
      <w:bookmarkStart w:id="24" w:name="_Toc30219"/>
      <w:r>
        <w:t>本方案通过合理安排用地规模、结构和布局，优化</w:t>
      </w:r>
      <w:r>
        <w:rPr>
          <w:rFonts w:hint="eastAsia"/>
        </w:rPr>
        <w:t>永春县城中心区城南片区</w:t>
      </w:r>
      <w:r>
        <w:t>土地利用空间格局，因地制宜配置用地，节约用地，提高现有用地使用效益，防止城镇建设空间的过分开发和扩张，</w:t>
      </w:r>
      <w:r>
        <w:rPr>
          <w:rFonts w:hint="eastAsia"/>
        </w:rPr>
        <w:t>满足</w:t>
      </w:r>
      <w:r>
        <w:t>紧凑式城镇发展格局。</w:t>
      </w:r>
    </w:p>
    <w:p w:rsidR="00EF5113" w:rsidRDefault="00980AEC" w:rsidP="003B48C8">
      <w:pPr>
        <w:overflowPunct w:val="0"/>
        <w:spacing w:line="600" w:lineRule="exact"/>
      </w:pPr>
      <w:r>
        <w:t>本片区的建设，有利于促进</w:t>
      </w:r>
      <w:r>
        <w:rPr>
          <w:rFonts w:hint="eastAsia"/>
        </w:rPr>
        <w:t>永春县城中心区城南片区</w:t>
      </w:r>
      <w:r>
        <w:t>功能分区的合理布局和效能的充分发挥，有利于对城市公用配套设施建设的集约使用，充分发挥城市的集聚效益，从而有效节约稀缺的土地资源，促进土地资源的</w:t>
      </w:r>
      <w:r>
        <w:rPr>
          <w:color w:val="000000" w:themeColor="text1"/>
        </w:rPr>
        <w:t>合理利用，缓解土地供给紧张的问题。本次成片开发范围用地面积</w:t>
      </w:r>
      <w:r>
        <w:rPr>
          <w:rFonts w:hint="eastAsia"/>
          <w:color w:val="000000" w:themeColor="text1"/>
        </w:rPr>
        <w:t>4.8872</w:t>
      </w:r>
      <w:r>
        <w:rPr>
          <w:color w:val="000000" w:themeColor="text1"/>
        </w:rPr>
        <w:t>公顷，</w:t>
      </w:r>
      <w:r>
        <w:rPr>
          <w:rFonts w:hint="eastAsia"/>
          <w:color w:val="000000" w:themeColor="text1"/>
        </w:rPr>
        <w:t>新建</w:t>
      </w:r>
      <w:r>
        <w:rPr>
          <w:color w:val="000000" w:themeColor="text1"/>
        </w:rPr>
        <w:t>城镇住宅用地</w:t>
      </w:r>
      <w:r>
        <w:rPr>
          <w:rFonts w:hint="eastAsia"/>
          <w:color w:val="000000" w:themeColor="text1"/>
        </w:rPr>
        <w:t>0.1023</w:t>
      </w:r>
      <w:r>
        <w:rPr>
          <w:color w:val="000000" w:themeColor="text1"/>
        </w:rPr>
        <w:t>公顷。住宅用地容积率为</w:t>
      </w:r>
      <w:r>
        <w:rPr>
          <w:color w:val="000000" w:themeColor="text1"/>
        </w:rPr>
        <w:t>2.0-2.5</w:t>
      </w:r>
      <w:r>
        <w:rPr>
          <w:color w:val="000000" w:themeColor="text1"/>
        </w:rPr>
        <w:t>，建筑</w:t>
      </w:r>
      <w:r>
        <w:rPr>
          <w:rFonts w:hint="eastAsia"/>
          <w:color w:val="000000" w:themeColor="text1"/>
        </w:rPr>
        <w:t>限高</w:t>
      </w:r>
      <w:r>
        <w:rPr>
          <w:rFonts w:hint="eastAsia"/>
          <w:color w:val="000000" w:themeColor="text1"/>
        </w:rPr>
        <w:t>54m</w:t>
      </w:r>
      <w:r>
        <w:rPr>
          <w:color w:val="000000" w:themeColor="text1"/>
        </w:rPr>
        <w:t>;</w:t>
      </w:r>
      <w:r>
        <w:rPr>
          <w:rFonts w:hint="eastAsia"/>
          <w:color w:val="000000" w:themeColor="text1"/>
        </w:rPr>
        <w:t>通过</w:t>
      </w:r>
      <w:r>
        <w:rPr>
          <w:color w:val="000000" w:themeColor="text1"/>
        </w:rPr>
        <w:t>合理</w:t>
      </w:r>
      <w:r>
        <w:t>安排布局，</w:t>
      </w:r>
      <w:r>
        <w:rPr>
          <w:rFonts w:hint="eastAsia"/>
        </w:rPr>
        <w:t>有效利用</w:t>
      </w:r>
      <w:r>
        <w:t>配套公共设施，进行集中建设，从而优化资源配置，推动人口产业集聚，提高土地集约利用程度。</w:t>
      </w:r>
    </w:p>
    <w:p w:rsidR="00EF5113" w:rsidRDefault="00980AEC" w:rsidP="003B48C8">
      <w:pPr>
        <w:pStyle w:val="2"/>
        <w:overflowPunct w:val="0"/>
        <w:ind w:leftChars="200" w:left="640" w:firstLineChars="0" w:firstLine="0"/>
      </w:pPr>
      <w:bookmarkStart w:id="25" w:name="_Toc16944"/>
      <w:r>
        <w:rPr>
          <w:rFonts w:hint="eastAsia"/>
        </w:rPr>
        <w:lastRenderedPageBreak/>
        <w:t>（二）社会效益</w:t>
      </w:r>
      <w:bookmarkEnd w:id="24"/>
      <w:bookmarkEnd w:id="25"/>
    </w:p>
    <w:p w:rsidR="005D3905" w:rsidRDefault="005D3905" w:rsidP="003B48C8">
      <w:pPr>
        <w:overflowPunct w:val="0"/>
        <w:spacing w:line="600" w:lineRule="exact"/>
      </w:pPr>
      <w:bookmarkStart w:id="26" w:name="_Toc19612"/>
      <w:r>
        <w:t>成片开发对经营性用地和基础设施建设的统一规划、开</w:t>
      </w:r>
      <w:r>
        <w:t xml:space="preserve"> </w:t>
      </w:r>
      <w:r>
        <w:t>发、管理，</w:t>
      </w:r>
      <w:r>
        <w:rPr>
          <w:rFonts w:hint="eastAsia"/>
        </w:rPr>
        <w:t>能够在一定程度上</w:t>
      </w:r>
      <w:r>
        <w:t>提升人居环境</w:t>
      </w:r>
      <w:r>
        <w:rPr>
          <w:rFonts w:hint="eastAsia"/>
        </w:rPr>
        <w:t>，改善周边居民的住房问题，可提高住户的幸福指数；提高片区基础设施的使用效率，有利于满足设施资源的集约使用，促进社会公共资源使用的良性发展。</w:t>
      </w:r>
    </w:p>
    <w:p w:rsidR="00EF5113" w:rsidRDefault="005D3905" w:rsidP="003B48C8">
      <w:pPr>
        <w:pStyle w:val="2"/>
        <w:overflowPunct w:val="0"/>
        <w:ind w:firstLine="641"/>
      </w:pPr>
      <w:bookmarkStart w:id="27" w:name="_Toc17675"/>
      <w:r w:rsidRPr="008D270D">
        <w:rPr>
          <w:rFonts w:hint="eastAsia"/>
        </w:rPr>
        <w:t>（三）</w:t>
      </w:r>
      <w:r>
        <w:rPr>
          <w:rFonts w:hint="eastAsia"/>
        </w:rPr>
        <w:t>经济效益</w:t>
      </w:r>
      <w:bookmarkEnd w:id="26"/>
      <w:bookmarkEnd w:id="27"/>
    </w:p>
    <w:p w:rsidR="00EF5113" w:rsidRDefault="00980AEC" w:rsidP="003B48C8">
      <w:pPr>
        <w:overflowPunct w:val="0"/>
        <w:spacing w:line="600" w:lineRule="exact"/>
        <w:rPr>
          <w:color w:val="FF0000"/>
        </w:rPr>
      </w:pPr>
      <w:r>
        <w:t>本方案以建设高品质居住、</w:t>
      </w:r>
      <w:r>
        <w:rPr>
          <w:rFonts w:hint="eastAsia"/>
        </w:rPr>
        <w:t>高质量生态、高浓度人文气息</w:t>
      </w:r>
      <w:r>
        <w:t>为主导功能</w:t>
      </w:r>
      <w:r>
        <w:rPr>
          <w:rFonts w:hint="eastAsia"/>
        </w:rPr>
        <w:t>的居住用地</w:t>
      </w:r>
      <w:r>
        <w:t>，完善城市功能，缓解住房压力。本次成片开发通过住宅社区的建设，提高周边公共服务设施</w:t>
      </w:r>
      <w:r>
        <w:rPr>
          <w:rFonts w:hint="eastAsia"/>
        </w:rPr>
        <w:t>的使用率</w:t>
      </w:r>
      <w:r>
        <w:t>，提升片区及周边区域人口流动和商业活力。房产的交易可带来契税收入，为当地增加财政收入，有利于带动当地经济发展。</w:t>
      </w:r>
    </w:p>
    <w:p w:rsidR="00EF5113" w:rsidRDefault="005D3905" w:rsidP="003B48C8">
      <w:pPr>
        <w:pStyle w:val="2"/>
        <w:overflowPunct w:val="0"/>
        <w:ind w:firstLine="641"/>
      </w:pPr>
      <w:bookmarkStart w:id="28" w:name="_Toc9348"/>
      <w:bookmarkStart w:id="29" w:name="_Toc21387"/>
      <w:r>
        <w:rPr>
          <w:rFonts w:hint="eastAsia"/>
        </w:rPr>
        <w:t>（四）生态效益</w:t>
      </w:r>
      <w:bookmarkEnd w:id="28"/>
      <w:bookmarkEnd w:id="29"/>
    </w:p>
    <w:p w:rsidR="00EF5113" w:rsidRDefault="00980AEC" w:rsidP="003B48C8">
      <w:pPr>
        <w:overflowPunct w:val="0"/>
        <w:snapToGrid w:val="0"/>
        <w:spacing w:line="600" w:lineRule="exact"/>
        <w:rPr>
          <w:rFonts w:ascii="Times New Roman" w:eastAsia="仿宋_GB2312" w:hAnsi="Times New Roman" w:cs="Times New Roman"/>
          <w:szCs w:val="32"/>
        </w:rPr>
      </w:pPr>
      <w:bookmarkStart w:id="30" w:name="_Toc11973"/>
      <w:r>
        <w:t>本方案在开发建设的同时兼顾环境保护要求，减少建设过程中产生的不良环境影响。本次成片开发范围内，片区内垃圾统一收集处理，污水通过市政管网排入</w:t>
      </w:r>
      <w:r>
        <w:rPr>
          <w:rFonts w:hint="eastAsia"/>
        </w:rPr>
        <w:t>市政</w:t>
      </w:r>
      <w:r>
        <w:t>污水处理厂处理，可减轻生活污水排放对地下水环境的不良影响，从而</w:t>
      </w:r>
      <w:r>
        <w:rPr>
          <w:rFonts w:hint="eastAsia"/>
        </w:rPr>
        <w:t>在一定程度上</w:t>
      </w:r>
      <w:r>
        <w:t>提高</w:t>
      </w:r>
      <w:r>
        <w:rPr>
          <w:rFonts w:hint="eastAsia"/>
        </w:rPr>
        <w:t>永春县</w:t>
      </w:r>
      <w:r>
        <w:t>总体环境品质，有利于营造良好的宜居环境。</w:t>
      </w:r>
    </w:p>
    <w:bookmarkEnd w:id="30"/>
    <w:p w:rsidR="00EF5113" w:rsidRDefault="00980AEC" w:rsidP="008D270D">
      <w:pPr>
        <w:pStyle w:val="1"/>
        <w:overflowPunct w:val="0"/>
      </w:pPr>
      <w:r>
        <w:rPr>
          <w:rFonts w:hint="eastAsia"/>
        </w:rPr>
        <w:lastRenderedPageBreak/>
        <w:t>六、</w:t>
      </w:r>
      <w:bookmarkStart w:id="31" w:name="_Toc4106"/>
      <w:bookmarkStart w:id="32" w:name="_Toc21168"/>
      <w:bookmarkStart w:id="33" w:name="_Toc7263"/>
      <w:bookmarkStart w:id="34" w:name="_Toc8233"/>
      <w:bookmarkStart w:id="35" w:name="_Toc6842"/>
      <w:bookmarkEnd w:id="21"/>
      <w:bookmarkEnd w:id="22"/>
      <w:bookmarkEnd w:id="23"/>
      <w:r>
        <w:rPr>
          <w:rFonts w:hint="eastAsia"/>
        </w:rPr>
        <w:t>占用永久基本农田和其他法律法规规定不允许占用或开发的区域</w:t>
      </w:r>
      <w:bookmarkEnd w:id="31"/>
      <w:bookmarkEnd w:id="32"/>
    </w:p>
    <w:p w:rsidR="00CA7141" w:rsidRDefault="00980AEC" w:rsidP="003B48C8">
      <w:pPr>
        <w:pStyle w:val="1"/>
        <w:overflowPunct w:val="0"/>
        <w:rPr>
          <w:rFonts w:asciiTheme="minorHAnsi" w:eastAsia="仿宋" w:hAnsiTheme="minorHAnsi"/>
          <w:kern w:val="2"/>
        </w:rPr>
      </w:pPr>
      <w:r>
        <w:rPr>
          <w:rFonts w:asciiTheme="minorHAnsi" w:eastAsia="仿宋" w:hAnsiTheme="minorHAnsi" w:hint="eastAsia"/>
          <w:kern w:val="2"/>
        </w:rPr>
        <w:t>本方案不涉及占用永久基本农田，不涉及湿地、饮用水水源区、风景名胜区、自然保护区等各类保护区，不涉及生态保护红线。不涉及历史文化名城名镇名村传统村落和文物建筑历史建筑传统风貌建筑，不涉及</w:t>
      </w:r>
      <w:r>
        <w:rPr>
          <w:rFonts w:asciiTheme="minorHAnsi" w:eastAsia="仿宋" w:hAnsiTheme="minorHAnsi" w:hint="eastAsia"/>
          <w:kern w:val="2"/>
        </w:rPr>
        <w:t>50</w:t>
      </w:r>
      <w:r>
        <w:rPr>
          <w:rFonts w:asciiTheme="minorHAnsi" w:eastAsia="仿宋" w:hAnsiTheme="minorHAnsi" w:hint="eastAsia"/>
          <w:kern w:val="2"/>
        </w:rPr>
        <w:t>年以上纳入保护的建筑。不涉及其他法律法规规定不允许占用或开发的区域。</w:t>
      </w:r>
      <w:bookmarkStart w:id="36" w:name="_Toc6767"/>
    </w:p>
    <w:p w:rsidR="00EF5113" w:rsidRDefault="00980AEC" w:rsidP="003B48C8">
      <w:pPr>
        <w:pStyle w:val="1"/>
        <w:overflowPunct w:val="0"/>
      </w:pPr>
      <w:r>
        <w:rPr>
          <w:rFonts w:hint="eastAsia"/>
        </w:rPr>
        <w:t>七、结论</w:t>
      </w:r>
      <w:bookmarkEnd w:id="36"/>
    </w:p>
    <w:p w:rsidR="00EF5113" w:rsidRDefault="00980AEC" w:rsidP="003B48C8">
      <w:pPr>
        <w:overflowPunct w:val="0"/>
        <w:spacing w:line="600" w:lineRule="exact"/>
      </w:pPr>
      <w:r>
        <w:rPr>
          <w:rFonts w:hint="eastAsia"/>
        </w:rPr>
        <w:t>本土地征收成片开发方案符合泉州市永春县国民经济和社会发展规划，项目</w:t>
      </w:r>
      <w:r>
        <w:rPr>
          <w:rFonts w:ascii="仿宋" w:hAnsi="仿宋" w:cs="仿宋" w:hint="eastAsia"/>
          <w:szCs w:val="32"/>
        </w:rPr>
        <w:t>在城镇开发边界的集中建设区</w:t>
      </w:r>
      <w:r>
        <w:rPr>
          <w:rFonts w:hint="eastAsia"/>
        </w:rPr>
        <w:t>范围，已纳入永春县国民经济和社会发展年度计划，依据自然资源部和福建省自然资源厅规定的标准和要求，做到了保护耕地、维护农民合法权益、节约集约用地、保护生态环境，能够促进经济社会可持续发展。</w:t>
      </w:r>
    </w:p>
    <w:p w:rsidR="00EF5113" w:rsidRDefault="00EF5113" w:rsidP="003B48C8">
      <w:pPr>
        <w:overflowPunct w:val="0"/>
        <w:spacing w:line="600" w:lineRule="exact"/>
      </w:pPr>
    </w:p>
    <w:p w:rsidR="00EF5113" w:rsidRDefault="00EF5113" w:rsidP="005D3905">
      <w:pPr>
        <w:pStyle w:val="4"/>
        <w:ind w:firstLine="602"/>
      </w:pPr>
    </w:p>
    <w:bookmarkEnd w:id="33"/>
    <w:bookmarkEnd w:id="34"/>
    <w:bookmarkEnd w:id="35"/>
    <w:p w:rsidR="00EF5113" w:rsidRDefault="00980AEC">
      <w:pPr>
        <w:overflowPunct w:val="0"/>
        <w:spacing w:line="240" w:lineRule="auto"/>
        <w:ind w:firstLineChars="0" w:firstLine="0"/>
      </w:pPr>
      <w:r>
        <w:rPr>
          <w:rFonts w:hint="eastAsia"/>
          <w:noProof/>
        </w:rPr>
        <w:drawing>
          <wp:inline distT="0" distB="0" distL="114300" distR="114300">
            <wp:extent cx="5271135" cy="7456805"/>
            <wp:effectExtent l="0" t="0" r="1905" b="10795"/>
            <wp:docPr id="1" name="图片 1" descr="D:\1工作\2022-10\项目\永春\永春2图\新范围出图\调整成图\成片开发位置示意图.jpg成片开发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1工作\2022-10\项目\永春\永春2图\新范围出图\调整成图\成片开发位置示意图.jpg成片开发位置示意图"/>
                    <pic:cNvPicPr>
                      <a:picLocks noChangeAspect="1"/>
                    </pic:cNvPicPr>
                  </pic:nvPicPr>
                  <pic:blipFill>
                    <a:blip r:embed="rId8"/>
                    <a:srcRect/>
                    <a:stretch>
                      <a:fillRect/>
                    </a:stretch>
                  </pic:blipFill>
                  <pic:spPr>
                    <a:xfrm>
                      <a:off x="0" y="0"/>
                      <a:ext cx="5271135" cy="7456805"/>
                    </a:xfrm>
                    <a:prstGeom prst="rect">
                      <a:avLst/>
                    </a:prstGeom>
                  </pic:spPr>
                </pic:pic>
              </a:graphicData>
            </a:graphic>
          </wp:inline>
        </w:drawing>
      </w:r>
    </w:p>
    <w:sectPr w:rsidR="00EF5113" w:rsidSect="003B48C8">
      <w:headerReference w:type="even" r:id="rId9"/>
      <w:headerReference w:type="default" r:id="rId10"/>
      <w:footerReference w:type="even" r:id="rId11"/>
      <w:footerReference w:type="default" r:id="rId12"/>
      <w:headerReference w:type="first" r:id="rId13"/>
      <w:footerReference w:type="first" r:id="rId14"/>
      <w:pgSz w:w="11906" w:h="16838"/>
      <w:pgMar w:top="1440"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E5A" w:rsidRDefault="00CF3E5A">
      <w:pPr>
        <w:spacing w:line="240" w:lineRule="auto"/>
      </w:pPr>
      <w:r>
        <w:separator/>
      </w:r>
    </w:p>
  </w:endnote>
  <w:endnote w:type="continuationSeparator" w:id="1">
    <w:p w:rsidR="00CF3E5A" w:rsidRDefault="00CF3E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04A2F275-5285-422A-8F51-324FE920D574}"/>
    <w:embedBold r:id="rId2" w:subsetted="1" w:fontKey="{BE941988-B36D-4F6C-B0DD-568B122F1F98}"/>
  </w:font>
  <w:font w:name="仿宋">
    <w:panose1 w:val="02010609060101010101"/>
    <w:charset w:val="86"/>
    <w:family w:val="modern"/>
    <w:pitch w:val="fixed"/>
    <w:sig w:usb0="800002BF" w:usb1="38CF7CFA" w:usb2="00000016" w:usb3="00000000" w:csb0="00040001" w:csb1="00000000"/>
    <w:embedRegular r:id="rId3" w:subsetted="1" w:fontKey="{C774822F-2439-438A-8F06-D4A122830A9B}"/>
    <w:embedBold r:id="rId4" w:subsetted="1" w:fontKey="{C53BEF43-3C68-484E-9493-66389D97FE3D}"/>
  </w:font>
  <w:font w:name="黑体">
    <w:altName w:val="SimHei"/>
    <w:panose1 w:val="02010609060101010101"/>
    <w:charset w:val="86"/>
    <w:family w:val="modern"/>
    <w:pitch w:val="fixed"/>
    <w:sig w:usb0="800002BF" w:usb1="38CF7CFA" w:usb2="00000016" w:usb3="00000000" w:csb0="00040001" w:csb1="00000000"/>
    <w:embedRegular r:id="rId5" w:subsetted="1" w:fontKey="{1DE6456A-021F-4CD1-894E-CA6A70EAA32A}"/>
  </w:font>
  <w:font w:name="方正仿宋_GB2312">
    <w:altName w:val="Arial Unicode MS"/>
    <w:charset w:val="86"/>
    <w:family w:val="auto"/>
    <w:pitch w:val="default"/>
    <w:sig w:usb0="00000000" w:usb1="184F6CFA" w:usb2="00000012" w:usb3="00000000" w:csb0="00040001" w:csb1="00000000"/>
  </w:font>
  <w:font w:name="华文楷体">
    <w:panose1 w:val="02010600040101010101"/>
    <w:charset w:val="86"/>
    <w:family w:val="auto"/>
    <w:pitch w:val="variable"/>
    <w:sig w:usb0="00000287" w:usb1="080F0000" w:usb2="00000010" w:usb3="00000000" w:csb0="0004009F" w:csb1="00000000"/>
    <w:embedBold r:id="rId6" w:subsetted="1" w:fontKey="{E693124C-3E30-4DA9-8B66-CE6140EB7192}"/>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embedBold r:id="rId7" w:subsetted="1" w:fontKey="{A539FEE3-2C09-4423-BBFE-5981952DB7E5}"/>
  </w:font>
  <w:font w:name="仿宋_GB2312">
    <w:panose1 w:val="02010609030101010101"/>
    <w:charset w:val="86"/>
    <w:family w:val="modern"/>
    <w:pitch w:val="fixed"/>
    <w:sig w:usb0="00000001" w:usb1="080E0000" w:usb2="00000010" w:usb3="00000000" w:csb0="00040000" w:csb1="00000000"/>
    <w:embedRegular r:id="rId8" w:subsetted="1" w:fontKey="{E4A32742-518B-4660-BEB0-0615502FEEC2}"/>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905" w:rsidRDefault="005D3905" w:rsidP="005D3905">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13" w:rsidRDefault="009E1BEF" w:rsidP="005D3905">
    <w:pPr>
      <w:pStyle w:val="a6"/>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EF5113" w:rsidRDefault="009E1BEF" w:rsidP="005D3905">
                <w:pPr>
                  <w:pStyle w:val="a6"/>
                  <w:ind w:firstLine="360"/>
                </w:pPr>
                <w:r>
                  <w:fldChar w:fldCharType="begin"/>
                </w:r>
                <w:r w:rsidR="00980AEC">
                  <w:instrText xml:space="preserve"> PAGE  \* MERGEFORMAT </w:instrText>
                </w:r>
                <w:r>
                  <w:fldChar w:fldCharType="separate"/>
                </w:r>
                <w:r w:rsidR="008D270D">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905" w:rsidRDefault="005D3905" w:rsidP="005D3905">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E5A" w:rsidRDefault="00CF3E5A">
      <w:pPr>
        <w:spacing w:line="240" w:lineRule="auto"/>
      </w:pPr>
      <w:r>
        <w:separator/>
      </w:r>
    </w:p>
  </w:footnote>
  <w:footnote w:type="continuationSeparator" w:id="1">
    <w:p w:rsidR="00CF3E5A" w:rsidRDefault="00CF3E5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905" w:rsidRDefault="005D3905" w:rsidP="005D3905">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113" w:rsidRDefault="00EF5113" w:rsidP="005D3905">
    <w:pPr>
      <w:pStyle w:val="a7"/>
      <w:ind w:firstLine="420"/>
      <w:jc w:val="center"/>
      <w:rPr>
        <w:rFonts w:asciiTheme="majorEastAsia" w:eastAsiaTheme="majorEastAsia" w:hAnsiTheme="majorEastAsia" w:cstheme="majorEastAsia"/>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905" w:rsidRDefault="005D3905" w:rsidP="005D3905">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E4E42D"/>
    <w:multiLevelType w:val="singleLevel"/>
    <w:tmpl w:val="F7E4E42D"/>
    <w:lvl w:ilvl="0">
      <w:start w:val="2"/>
      <w:numFmt w:val="chineseCounting"/>
      <w:suff w:val="nothing"/>
      <w:lvlText w:val="（%1）"/>
      <w:lvlJc w:val="left"/>
      <w:rPr>
        <w:rFonts w:hint="eastAsia"/>
      </w:rPr>
    </w:lvl>
  </w:abstractNum>
  <w:abstractNum w:abstractNumId="1">
    <w:nsid w:val="742295BC"/>
    <w:multiLevelType w:val="singleLevel"/>
    <w:tmpl w:val="742295BC"/>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TrueTypeFonts/>
  <w:saveSubset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kzYjhmY2QxNDIzNTk4YWYxMjJiOWE1MDlmY2U2ZGQifQ=="/>
  </w:docVars>
  <w:rsids>
    <w:rsidRoot w:val="02CE2A85"/>
    <w:rsid w:val="00131136"/>
    <w:rsid w:val="003B48C8"/>
    <w:rsid w:val="005D3905"/>
    <w:rsid w:val="008D270D"/>
    <w:rsid w:val="00980AEC"/>
    <w:rsid w:val="009E1BEF"/>
    <w:rsid w:val="00B17AEE"/>
    <w:rsid w:val="00CA7141"/>
    <w:rsid w:val="00CF3E5A"/>
    <w:rsid w:val="00EF5113"/>
    <w:rsid w:val="02025807"/>
    <w:rsid w:val="02CE2A85"/>
    <w:rsid w:val="07B12112"/>
    <w:rsid w:val="0815299A"/>
    <w:rsid w:val="08275C22"/>
    <w:rsid w:val="09B17D10"/>
    <w:rsid w:val="0CD93263"/>
    <w:rsid w:val="1111746F"/>
    <w:rsid w:val="11BD38A4"/>
    <w:rsid w:val="13663E48"/>
    <w:rsid w:val="14783B30"/>
    <w:rsid w:val="151C22BE"/>
    <w:rsid w:val="1527188B"/>
    <w:rsid w:val="1602382A"/>
    <w:rsid w:val="17E36B94"/>
    <w:rsid w:val="1C662360"/>
    <w:rsid w:val="1CF30371"/>
    <w:rsid w:val="1E9A6CF6"/>
    <w:rsid w:val="2162702B"/>
    <w:rsid w:val="21CE14F2"/>
    <w:rsid w:val="220D0600"/>
    <w:rsid w:val="23505325"/>
    <w:rsid w:val="24294678"/>
    <w:rsid w:val="245B4BC7"/>
    <w:rsid w:val="250D30B9"/>
    <w:rsid w:val="289F59A8"/>
    <w:rsid w:val="29957725"/>
    <w:rsid w:val="2B3B53BD"/>
    <w:rsid w:val="2DFA1905"/>
    <w:rsid w:val="2EEB0EA8"/>
    <w:rsid w:val="35D94E17"/>
    <w:rsid w:val="374675C3"/>
    <w:rsid w:val="39D6222B"/>
    <w:rsid w:val="3BCD01E4"/>
    <w:rsid w:val="44307E23"/>
    <w:rsid w:val="450E0C71"/>
    <w:rsid w:val="47286732"/>
    <w:rsid w:val="47FA4AC0"/>
    <w:rsid w:val="4A4D149C"/>
    <w:rsid w:val="4D761E2D"/>
    <w:rsid w:val="50127AA9"/>
    <w:rsid w:val="505467FB"/>
    <w:rsid w:val="511C5F57"/>
    <w:rsid w:val="52AA4A52"/>
    <w:rsid w:val="5D137698"/>
    <w:rsid w:val="5ECC3FA2"/>
    <w:rsid w:val="60302866"/>
    <w:rsid w:val="652124B7"/>
    <w:rsid w:val="658860C8"/>
    <w:rsid w:val="659D0447"/>
    <w:rsid w:val="6FE3114C"/>
    <w:rsid w:val="71265DB7"/>
    <w:rsid w:val="732D35ED"/>
    <w:rsid w:val="75B01AD0"/>
    <w:rsid w:val="790F6534"/>
    <w:rsid w:val="7BD256F0"/>
    <w:rsid w:val="7D786623"/>
    <w:rsid w:val="7DC91981"/>
    <w:rsid w:val="7ECB4467"/>
    <w:rsid w:val="7EDC0C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EF5113"/>
    <w:pPr>
      <w:widowControl w:val="0"/>
      <w:spacing w:line="560" w:lineRule="exact"/>
      <w:ind w:firstLineChars="200" w:firstLine="640"/>
      <w:jc w:val="both"/>
    </w:pPr>
    <w:rPr>
      <w:rFonts w:asciiTheme="minorHAnsi" w:eastAsia="仿宋" w:hAnsiTheme="minorHAnsi" w:cstheme="minorBidi"/>
      <w:kern w:val="2"/>
      <w:sz w:val="32"/>
      <w:szCs w:val="24"/>
    </w:rPr>
  </w:style>
  <w:style w:type="paragraph" w:styleId="1">
    <w:name w:val="heading 1"/>
    <w:basedOn w:val="a"/>
    <w:next w:val="a"/>
    <w:link w:val="1Char"/>
    <w:qFormat/>
    <w:rsid w:val="00EF5113"/>
    <w:pPr>
      <w:keepNext/>
      <w:keepLines/>
      <w:spacing w:before="10" w:line="600" w:lineRule="exact"/>
      <w:outlineLvl w:val="0"/>
    </w:pPr>
    <w:rPr>
      <w:rFonts w:ascii="黑体" w:eastAsia="黑体" w:hAnsi="黑体"/>
      <w:kern w:val="44"/>
    </w:rPr>
  </w:style>
  <w:style w:type="paragraph" w:styleId="2">
    <w:name w:val="heading 2"/>
    <w:basedOn w:val="a"/>
    <w:next w:val="a"/>
    <w:link w:val="2Char"/>
    <w:unhideWhenUsed/>
    <w:qFormat/>
    <w:rsid w:val="00EF5113"/>
    <w:pPr>
      <w:keepNext/>
      <w:keepLines/>
      <w:spacing w:line="600" w:lineRule="exact"/>
      <w:outlineLvl w:val="1"/>
    </w:pPr>
    <w:rPr>
      <w:rFonts w:ascii="方正仿宋_GB2312" w:eastAsia="华文楷体" w:hAnsi="方正仿宋_GB2312"/>
      <w:b/>
    </w:rPr>
  </w:style>
  <w:style w:type="paragraph" w:styleId="3">
    <w:name w:val="heading 3"/>
    <w:basedOn w:val="a"/>
    <w:next w:val="a"/>
    <w:link w:val="3Char"/>
    <w:unhideWhenUsed/>
    <w:qFormat/>
    <w:rsid w:val="00EF5113"/>
    <w:pPr>
      <w:keepNext/>
      <w:keepLines/>
      <w:spacing w:line="600" w:lineRule="exact"/>
      <w:outlineLvl w:val="2"/>
    </w:pPr>
    <w:rPr>
      <w:b/>
    </w:rPr>
  </w:style>
  <w:style w:type="paragraph" w:styleId="4">
    <w:name w:val="heading 4"/>
    <w:basedOn w:val="a"/>
    <w:next w:val="a"/>
    <w:qFormat/>
    <w:rsid w:val="00EF5113"/>
    <w:pPr>
      <w:keepNext/>
      <w:keepLines/>
      <w:autoSpaceDE w:val="0"/>
      <w:autoSpaceDN w:val="0"/>
      <w:adjustRightInd w:val="0"/>
      <w:spacing w:before="280" w:after="290" w:line="376" w:lineRule="atLeast"/>
      <w:textAlignment w:val="baseline"/>
      <w:outlineLvl w:val="3"/>
    </w:pPr>
    <w:rPr>
      <w:rFonts w:ascii="Arial" w:eastAsia="黑体" w:hAnsi="Arial"/>
      <w:b/>
      <w:kern w:val="0"/>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EF5113"/>
    <w:pPr>
      <w:jc w:val="left"/>
    </w:pPr>
  </w:style>
  <w:style w:type="paragraph" w:styleId="a4">
    <w:name w:val="Body Text Indent"/>
    <w:basedOn w:val="a"/>
    <w:next w:val="a5"/>
    <w:qFormat/>
    <w:rsid w:val="00EF5113"/>
    <w:pPr>
      <w:spacing w:after="120"/>
      <w:ind w:leftChars="200" w:left="420"/>
    </w:pPr>
  </w:style>
  <w:style w:type="paragraph" w:styleId="a5">
    <w:name w:val="Plain Text"/>
    <w:basedOn w:val="a"/>
    <w:qFormat/>
    <w:rsid w:val="00EF5113"/>
    <w:pPr>
      <w:autoSpaceDE w:val="0"/>
      <w:autoSpaceDN w:val="0"/>
    </w:pPr>
    <w:rPr>
      <w:szCs w:val="21"/>
    </w:rPr>
  </w:style>
  <w:style w:type="paragraph" w:styleId="a6">
    <w:name w:val="footer"/>
    <w:basedOn w:val="a"/>
    <w:qFormat/>
    <w:rsid w:val="00EF5113"/>
    <w:pPr>
      <w:tabs>
        <w:tab w:val="center" w:pos="4153"/>
        <w:tab w:val="right" w:pos="8306"/>
      </w:tabs>
      <w:snapToGrid w:val="0"/>
      <w:jc w:val="left"/>
    </w:pPr>
    <w:rPr>
      <w:sz w:val="18"/>
    </w:rPr>
  </w:style>
  <w:style w:type="paragraph" w:styleId="a7">
    <w:name w:val="header"/>
    <w:basedOn w:val="a"/>
    <w:qFormat/>
    <w:rsid w:val="00EF5113"/>
    <w:pPr>
      <w:pBdr>
        <w:top w:val="none" w:sz="0" w:space="1" w:color="auto"/>
        <w:left w:val="none" w:sz="0" w:space="4" w:color="auto"/>
        <w:bottom w:val="none" w:sz="0" w:space="1" w:color="auto"/>
        <w:right w:val="none" w:sz="0" w:space="4" w:color="auto"/>
      </w:pBdr>
      <w:tabs>
        <w:tab w:val="center" w:pos="4153"/>
        <w:tab w:val="right" w:pos="8306"/>
      </w:tabs>
      <w:snapToGrid w:val="0"/>
    </w:pPr>
    <w:rPr>
      <w:rFonts w:ascii="Lucida Sans" w:hAnsi="Lucida Sans"/>
      <w:sz w:val="18"/>
    </w:rPr>
  </w:style>
  <w:style w:type="paragraph" w:styleId="10">
    <w:name w:val="toc 1"/>
    <w:basedOn w:val="a"/>
    <w:next w:val="a"/>
    <w:qFormat/>
    <w:rsid w:val="00EF5113"/>
  </w:style>
  <w:style w:type="paragraph" w:styleId="20">
    <w:name w:val="toc 2"/>
    <w:basedOn w:val="a"/>
    <w:next w:val="a"/>
    <w:qFormat/>
    <w:rsid w:val="00EF5113"/>
    <w:pPr>
      <w:ind w:leftChars="200" w:left="420"/>
    </w:pPr>
  </w:style>
  <w:style w:type="paragraph" w:styleId="21">
    <w:name w:val="Body Text First Indent 2"/>
    <w:basedOn w:val="a4"/>
    <w:next w:val="a"/>
    <w:qFormat/>
    <w:rsid w:val="00EF5113"/>
    <w:pPr>
      <w:ind w:firstLine="1012"/>
    </w:pPr>
  </w:style>
  <w:style w:type="character" w:styleId="a8">
    <w:name w:val="Strong"/>
    <w:basedOn w:val="a0"/>
    <w:qFormat/>
    <w:rsid w:val="00EF5113"/>
    <w:rPr>
      <w:b/>
    </w:rPr>
  </w:style>
  <w:style w:type="character" w:customStyle="1" w:styleId="2Char">
    <w:name w:val="标题 2 Char"/>
    <w:link w:val="2"/>
    <w:qFormat/>
    <w:rsid w:val="00EF5113"/>
    <w:rPr>
      <w:rFonts w:ascii="方正仿宋_GB2312" w:eastAsia="华文楷体" w:hAnsi="方正仿宋_GB2312"/>
      <w:b/>
    </w:rPr>
  </w:style>
  <w:style w:type="paragraph" w:customStyle="1" w:styleId="11">
    <w:name w:val="列表段落1"/>
    <w:basedOn w:val="a"/>
    <w:uiPriority w:val="34"/>
    <w:qFormat/>
    <w:rsid w:val="00EF5113"/>
    <w:pPr>
      <w:ind w:firstLine="420"/>
    </w:pPr>
  </w:style>
  <w:style w:type="character" w:customStyle="1" w:styleId="1Char">
    <w:name w:val="标题 1 Char"/>
    <w:link w:val="1"/>
    <w:qFormat/>
    <w:rsid w:val="00EF5113"/>
    <w:rPr>
      <w:rFonts w:ascii="黑体" w:eastAsia="黑体" w:hAnsi="黑体"/>
      <w:kern w:val="44"/>
      <w:sz w:val="32"/>
    </w:rPr>
  </w:style>
  <w:style w:type="paragraph" w:customStyle="1" w:styleId="Default">
    <w:name w:val="Default"/>
    <w:qFormat/>
    <w:rsid w:val="00EF5113"/>
    <w:pPr>
      <w:widowControl w:val="0"/>
      <w:autoSpaceDE w:val="0"/>
      <w:autoSpaceDN w:val="0"/>
      <w:adjustRightInd w:val="0"/>
    </w:pPr>
    <w:rPr>
      <w:rFonts w:ascii="宋体" w:cs="宋体"/>
      <w:color w:val="000000"/>
      <w:sz w:val="24"/>
      <w:szCs w:val="24"/>
    </w:rPr>
  </w:style>
  <w:style w:type="paragraph" w:customStyle="1" w:styleId="WPSOffice1">
    <w:name w:val="WPSOffice手动目录 1"/>
    <w:qFormat/>
    <w:rsid w:val="00EF5113"/>
  </w:style>
  <w:style w:type="paragraph" w:customStyle="1" w:styleId="WPSOffice2">
    <w:name w:val="WPSOffice手动目录 2"/>
    <w:qFormat/>
    <w:rsid w:val="00EF5113"/>
    <w:pPr>
      <w:ind w:leftChars="200" w:left="200"/>
    </w:pPr>
  </w:style>
  <w:style w:type="character" w:customStyle="1" w:styleId="3Char">
    <w:name w:val="标题 3 Char"/>
    <w:link w:val="3"/>
    <w:qFormat/>
    <w:rsid w:val="00EF5113"/>
    <w:rPr>
      <w:b/>
    </w:rPr>
  </w:style>
  <w:style w:type="character" w:customStyle="1" w:styleId="font31">
    <w:name w:val="font31"/>
    <w:basedOn w:val="a0"/>
    <w:qFormat/>
    <w:rsid w:val="00EF5113"/>
    <w:rPr>
      <w:rFonts w:ascii="Times New Roman" w:hAnsi="Times New Roman" w:cs="Times New Roman" w:hint="default"/>
      <w:color w:val="000000"/>
      <w:sz w:val="32"/>
      <w:szCs w:val="32"/>
      <w:u w:val="none"/>
    </w:rPr>
  </w:style>
  <w:style w:type="character" w:customStyle="1" w:styleId="font01">
    <w:name w:val="font01"/>
    <w:basedOn w:val="a0"/>
    <w:qFormat/>
    <w:rsid w:val="00EF5113"/>
    <w:rPr>
      <w:rFonts w:ascii="黑体" w:eastAsia="黑体" w:hAnsi="宋体" w:cs="黑体" w:hint="eastAsia"/>
      <w:color w:val="000000"/>
      <w:sz w:val="32"/>
      <w:szCs w:val="32"/>
      <w:u w:val="none"/>
    </w:rPr>
  </w:style>
  <w:style w:type="character" w:customStyle="1" w:styleId="font41">
    <w:name w:val="font41"/>
    <w:basedOn w:val="a0"/>
    <w:qFormat/>
    <w:rsid w:val="00EF5113"/>
    <w:rPr>
      <w:rFonts w:ascii="Times New Roman" w:hAnsi="Times New Roman" w:cs="Times New Roman" w:hint="default"/>
      <w:color w:val="000000"/>
      <w:sz w:val="32"/>
      <w:szCs w:val="32"/>
      <w:u w:val="none"/>
    </w:rPr>
  </w:style>
  <w:style w:type="character" w:customStyle="1" w:styleId="font21">
    <w:name w:val="font21"/>
    <w:basedOn w:val="a0"/>
    <w:qFormat/>
    <w:rsid w:val="00EF5113"/>
    <w:rPr>
      <w:rFonts w:ascii="黑体" w:eastAsia="黑体" w:hAnsi="宋体" w:cs="黑体" w:hint="eastAsia"/>
      <w:color w:val="000000"/>
      <w:sz w:val="32"/>
      <w:szCs w:val="32"/>
      <w:u w:val="none"/>
    </w:rPr>
  </w:style>
  <w:style w:type="character" w:customStyle="1" w:styleId="font51">
    <w:name w:val="font51"/>
    <w:basedOn w:val="a0"/>
    <w:qFormat/>
    <w:rsid w:val="00EF5113"/>
    <w:rPr>
      <w:rFonts w:ascii="Times New Roman" w:hAnsi="Times New Roman" w:cs="Times New Roman" w:hint="default"/>
      <w:color w:val="000000"/>
      <w:sz w:val="28"/>
      <w:szCs w:val="28"/>
      <w:u w:val="none"/>
    </w:rPr>
  </w:style>
  <w:style w:type="character" w:customStyle="1" w:styleId="font61">
    <w:name w:val="font61"/>
    <w:basedOn w:val="a0"/>
    <w:qFormat/>
    <w:rsid w:val="00EF5113"/>
    <w:rPr>
      <w:rFonts w:ascii="Times New Roman" w:hAnsi="Times New Roman" w:cs="Times New Roman" w:hint="default"/>
      <w:color w:val="000000"/>
      <w:sz w:val="32"/>
      <w:szCs w:val="32"/>
      <w:u w:val="none"/>
    </w:rPr>
  </w:style>
  <w:style w:type="character" w:customStyle="1" w:styleId="font11">
    <w:name w:val="font11"/>
    <w:basedOn w:val="a0"/>
    <w:qFormat/>
    <w:rsid w:val="00EF5113"/>
    <w:rPr>
      <w:rFonts w:ascii="黑体" w:eastAsia="黑体" w:hAnsi="宋体" w:cs="黑体" w:hint="eastAsia"/>
      <w:color w:val="000000"/>
      <w:sz w:val="32"/>
      <w:szCs w:val="32"/>
      <w:u w:val="none"/>
    </w:rPr>
  </w:style>
  <w:style w:type="paragraph" w:styleId="a9">
    <w:name w:val="Balloon Text"/>
    <w:basedOn w:val="a"/>
    <w:link w:val="Char"/>
    <w:rsid w:val="003B48C8"/>
    <w:pPr>
      <w:spacing w:line="240" w:lineRule="auto"/>
    </w:pPr>
    <w:rPr>
      <w:sz w:val="18"/>
      <w:szCs w:val="18"/>
    </w:rPr>
  </w:style>
  <w:style w:type="character" w:customStyle="1" w:styleId="Char">
    <w:name w:val="批注框文本 Char"/>
    <w:basedOn w:val="a0"/>
    <w:link w:val="a9"/>
    <w:rsid w:val="003B48C8"/>
    <w:rPr>
      <w:rFonts w:asciiTheme="minorHAnsi" w:eastAsia="仿宋"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WPS_1521813047</dc:creator>
  <cp:lastModifiedBy>微软用户</cp:lastModifiedBy>
  <cp:revision>4</cp:revision>
  <cp:lastPrinted>2023-02-01T07:00:00Z</cp:lastPrinted>
  <dcterms:created xsi:type="dcterms:W3CDTF">2022-10-29T09:29:00Z</dcterms:created>
  <dcterms:modified xsi:type="dcterms:W3CDTF">2023-02-01T07:04:00Z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8C51717A464A4B42AF0D03B7A53829CE</vt:lpwstr>
  </property>
</Properties>
</file>