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永春县政府预算相关重要事项的说明</w:t>
      </w:r>
    </w:p>
    <w:p>
      <w:pPr>
        <w:rPr>
          <w:rFonts w:ascii="方正小标宋_GBK" w:eastAsia="方正小标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黑体_GBK" w:hAnsi="黑体" w:eastAsia="方正黑体_GBK" w:cs="Times New Roman"/>
          <w:sz w:val="32"/>
          <w:szCs w:val="32"/>
        </w:rPr>
      </w:pPr>
      <w:r>
        <w:rPr>
          <w:rFonts w:hint="eastAsia" w:ascii="方正黑体_GBK" w:hAnsi="黑体" w:eastAsia="方正黑体_GBK" w:cs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方正黑体_GBK"/>
          <w:kern w:val="0"/>
          <w:sz w:val="32"/>
          <w:szCs w:val="32"/>
        </w:rPr>
        <w:t>永春县本级支出预算说明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年度永春县本级一般公共预算支出数为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368364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</w:t>
      </w: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0.68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（一）一般公共服务支出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41175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4868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13.41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。主要原因是增加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综治专职网格员补贴及矿山巡逻队伍工作经费</w:t>
      </w:r>
      <w:r>
        <w:rPr>
          <w:rFonts w:hint="eastAsia" w:ascii="仿宋" w:hAnsi="仿宋" w:eastAsia="仿宋" w:cs="仿宋"/>
          <w:kern w:val="0"/>
          <w:sz w:val="32"/>
          <w:szCs w:val="32"/>
        </w:rPr>
        <w:t>等。其中：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人大事务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1563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6.76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政协事务991万元，较预算基数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政府办公厅（室）及相关机构事务1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7305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4659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36.84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。主要原因是人员支出增加。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发展与改革事务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2.73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统计信息事务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818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63.27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专项普查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财政事务1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12.38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，主要是人员支出增加。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7.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税收事务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24.77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，主要是税务优化营商环境专项经费增加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8.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审计事务4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5.09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9.</w:t>
      </w:r>
      <w:r>
        <w:rPr>
          <w:rFonts w:hint="eastAsia" w:ascii="仿宋" w:hAnsi="仿宋" w:eastAsia="仿宋" w:cs="仿宋"/>
          <w:kern w:val="0"/>
          <w:sz w:val="32"/>
          <w:szCs w:val="32"/>
        </w:rPr>
        <w:t>纪检监察事务2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.4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0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商贸事务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16.83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，主要原因是招商引资费用等增加。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民族事务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266.67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%，主要原因是零基预算改革后，规范奖金列支方式。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港澳台事务3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8.57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档案事务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3%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馆藏档案数字化建设经费增加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民主党派及工商联事务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万元，增长7.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群众团体事务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1015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5.29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党委办公厅（室）及相关机构事务17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3.28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2117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7.96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8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宣传事务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577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4.47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19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统战事务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539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24.03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，主要是侨务活动经费增加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0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其他共产党事务支出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8.85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市场监督管理事务3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5.09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其他一般公共服务支出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70.87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，主要原因是预留人员增资、抚恤丧葬等经费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（二）国防支出4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（三）公共安全支出1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8461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2838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28.94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公安1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6093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2146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26.74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，主要原因是人员增加及上级提前下达补助增加。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司法1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16.44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，主要是普法宣传支出经费增加。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其他公共安全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，增长16.44%，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主要原因是预留人员增资、抚恤丧葬等经费增加。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（四）教育支出11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6339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3740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万元，增长6.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，主要原因是人员支出、上级提前下达补助、课后服务等增加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2654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1125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73.58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，主要原因是教师培训费及人员支出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普通教育10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6215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4.67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职业教育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919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44.03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，主要原因是学生人数增加相应增加公用经费等。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广播电视教育</w:t>
      </w:r>
      <w:r>
        <w:rPr>
          <w:rFonts w:ascii="仿宋" w:hAnsi="仿宋" w:eastAsia="仿宋" w:cs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万元，与预算基数持平。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特殊教育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30.06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进修及培训1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32.87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，主要原因是人员支出增加。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7.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教育费附加安排的支出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463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7.09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（五）科学技术支出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9.95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科学技术管理事务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52.2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技术研究与开发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6.04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科学技术普及2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6.82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（六）文化旅游体育与传媒支出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23.92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，主要原因是上级提前下达补助等增加。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文化和旅游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1594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1185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42.64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文物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87.2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，主要是上级提前下达指标增加。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体育3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13.03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%，主要原因是上级提前下达专项减少。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新闻出版电影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0.84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spacing w:line="360" w:lineRule="auto"/>
        <w:ind w:firstLine="640" w:firstLineChars="200"/>
        <w:rPr>
          <w:rFonts w:cs="Times New Roman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广播电视1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万元，增长19.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，主要原因是人员支出增加。</w:t>
      </w:r>
      <w: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（七）社会保障和就业支出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59112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3146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5.05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人力资源和社会保障管理事务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1433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31.23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，主要原因是“涌泉行动”应届本科生社保补助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民政管理事务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10.42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行政事业单位离退休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18416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6004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4.59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，主要原因是机关事业单位基本养老保险基金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收入增加，所需补贴相应减少。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就业补助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万元，比预算基数增加2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45.32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%，主要原因是上级提前下达指标增加。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抚恤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4268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0.7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，主要原因是抚恤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标准提高。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退役安置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765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6.48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社会福利23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5万元，较预算基数增加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3.47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残疾人事业2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41万元，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6.15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红十字事业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146.03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，主要原因是</w:t>
      </w:r>
      <w:r>
        <w:rPr>
          <w:rFonts w:hint="eastAsia" w:ascii="仿宋" w:hAnsi="仿宋" w:eastAsia="仿宋" w:cs="仿宋"/>
          <w:kern w:val="0"/>
          <w:sz w:val="32"/>
          <w:szCs w:val="32"/>
        </w:rPr>
        <w:t>人员支出增加。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0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最低生活保障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6336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低保金提标扩面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临时救助8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7万元，增长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5.80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特困人员救助供养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37.76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，主要原因是特困人员救助供养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提标扩面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其他生活救助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27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64.69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4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财政对基本养老保险基金的补助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684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万元，较预算基数增加36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26.25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，主要原因是财政补助增加。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5</w:t>
      </w:r>
      <w:r>
        <w:rPr>
          <w:rFonts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退役军人管理事务3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1万元，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3.17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804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665</w:t>
      </w:r>
      <w:r>
        <w:rPr>
          <w:rFonts w:hint="eastAsia" w:ascii="仿宋" w:hAnsi="仿宋" w:eastAsia="仿宋" w:cs="仿宋"/>
          <w:kern w:val="0"/>
          <w:sz w:val="32"/>
          <w:szCs w:val="32"/>
        </w:rPr>
        <w:t>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82.01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（八）卫生健康支出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29383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4.36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卫生健康管理事务1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8.98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公立医院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2229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919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70.15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基层医疗卫生机构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7303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2262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23.65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，主要原因是及上级提前下达补助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等。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公共卫生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2.18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计划生育事务6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493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8.03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，主要原因是计生家庭奖励增加。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行政事业单位医疗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人员支出减少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7.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财政对基本医疗保险基金的补助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4896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9.95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8.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医疗救助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664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51.95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，主要原因是城乡医疗救助增加。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9.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优抚对象医疗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10.</w:t>
      </w:r>
      <w:r>
        <w:rPr>
          <w:rFonts w:hint="eastAsia" w:ascii="仿宋" w:hAnsi="仿宋" w:eastAsia="仿宋" w:cs="仿宋"/>
          <w:kern w:val="0"/>
          <w:sz w:val="32"/>
          <w:szCs w:val="32"/>
        </w:rPr>
        <w:t>医疗保障管理事务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机构合并导致人员支出增加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11.老龄卫生健康事务55万元，与预算基数持平。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（九）节能环保支出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4698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3952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45.69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环境保护管理事务2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36.32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污染防治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96.34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3.自然生态保护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3987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7.28%，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4.天然林保护1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73.04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，主要原因是上级提前下达指标增加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（十）城乡社区支出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7578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1955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20.51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城乡社区管理事务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5230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15.06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，主要原因是人员支出减少。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城乡社区规划与管理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00万元，较预算基数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，主要是公用经费支出减少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3.城乡社区环境卫生1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648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488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42.07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（十一）农林水支出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32825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7784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31.09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农业农村支出1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0889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1052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8.81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kern w:val="0"/>
          <w:sz w:val="32"/>
          <w:szCs w:val="32"/>
        </w:rPr>
        <w:t>级提前下达补助等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林业支出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1928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44.54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水利支出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2494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5.45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巩固脱贫衔接乡村振兴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2624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894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51.68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，主要原因是上级提前下达指标增加。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农村综合改革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3831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845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18.07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480" w:firstLineChars="1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（十二）交通运输支出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4588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61.87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1.公路水路运输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2827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2588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47.79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（十三）资源勘探工业信息等支出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22293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3583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19.15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。主要是扶持企业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资源勘探开发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72.22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，主要是上级提前下达指标减少。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制造业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3470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718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7.14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，主要原因是扶持制造业企业支出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.支持中小企业发展和管理支出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18643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4601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2.77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，主要原因是扶持其他企业支出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（十四）商业服务业等支出5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10.57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商业流通事务5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10.57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，主要是原因是上级提前下达指标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（十五）自然资源海洋气象等支出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9889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万元，增长36.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78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。主要是矿山生态恢复及管理、自然资源规划与管理、人员支出及上级提前下达补助等增加。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自然资源事务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9587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2613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37.47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，主要原因是自然资源调查与确权登记及上级提前下达补助增加。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气象事务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439.29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，主要原因是气象现代化提升工程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经费增加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（十六）住房保障支出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万元，较预算数基数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94.14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保障性安居工程支出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万元，较预算数基数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94.14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%，主要原因是上级提前下达指标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（十七）粮油物资储备支出2180万元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与预算基数持平。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粮油事务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2180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7.97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，主要原因是粮食风险基金增加。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（十八）灾害防治及应急管理支出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4378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24.84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，主要原因是安全监管经费等增加。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应急管理事务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2196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9.34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，主要原因是安全监管经费等增加。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消防救援事务1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2.80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矿山安全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</w:rPr>
        <w:t>5万元，较预算基数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84.21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支出增加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地震事务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9.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，主要原因是气象现代化提升工程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经费等支出增加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自然灾害防治200万元，与预算基数持平。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6.</w:t>
      </w:r>
      <w: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其他灾害防治及应急管理支出</w:t>
      </w:r>
      <w:r>
        <w:rPr>
          <w:rFonts w:ascii="仿宋" w:hAnsi="仿宋" w:eastAsia="仿宋" w:cs="仿宋"/>
          <w:kern w:val="0"/>
          <w:sz w:val="32"/>
          <w:szCs w:val="32"/>
        </w:rPr>
        <w:t>226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预留人员增资、抚恤丧葬等经费。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（十九）预备费5</w:t>
      </w:r>
      <w:r>
        <w:rPr>
          <w:rFonts w:ascii="仿宋" w:hAnsi="仿宋" w:eastAsia="仿宋" w:cs="仿宋"/>
          <w:kern w:val="0"/>
          <w:sz w:val="32"/>
          <w:szCs w:val="32"/>
        </w:rPr>
        <w:t>000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（二十）债务付息支出1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5608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万元，较预算基数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32</w:t>
      </w:r>
      <w:r>
        <w:rPr>
          <w:rFonts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（二十一）债务发行费用支出1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0万元，较预算基数增加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0万元，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%，主要原因是发行费增加。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本县所辖乡镇作为一级预算部门管理，未单独编制政府预算，为此未有一般公共预算对下税收返还和转移支付预算数据。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三、举借政府债务情况</w:t>
      </w:r>
    </w:p>
    <w:p>
      <w:pPr>
        <w:spacing w:line="600" w:lineRule="exact"/>
        <w:ind w:firstLine="620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年，全县新增政府债务限额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51049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，实际发行新增债券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51049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（一般债券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18095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，专项债券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32954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）。截至</w:t>
      </w:r>
      <w:r>
        <w:rPr>
          <w:rFonts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年底，全</w:t>
      </w:r>
      <w:r>
        <w:rPr>
          <w:rFonts w:hint="eastAsia" w:ascii="仿宋" w:hAnsi="仿宋" w:eastAsia="仿宋" w:cs="仿宋"/>
          <w:kern w:val="0"/>
          <w:sz w:val="32"/>
          <w:szCs w:val="32"/>
        </w:rPr>
        <w:t>县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政府债务余额预计数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570359.11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（一般债务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务442570.11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，专项债务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127789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），债务余额严格控制在上级核定的限额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631477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内。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四、预算绩效开展情况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拓宽绩效目标管理领域，基本建成“全方位、全过程、全覆盖”预算绩效管理体系，充分发挥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绩效评价结果应用，提升资金使用效益。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扎实推进全县财政管理绩效工作，2021年县级财政管理绩效综合评价预进入全国200名以内。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开展财政支出绩效指标库建设，推进预算单位绩效目标设置科学化、规范化。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做深绩效评价管理，开展重点评价项目（部门整体评价）12个、涉及专项资金26000万，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督促落实整改36个问题。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全面铺开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2022年绩效自评工作，实现部门预算资金自评全覆盖。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4A6"/>
    <w:rsid w:val="0000765F"/>
    <w:rsid w:val="00010D12"/>
    <w:rsid w:val="00010D73"/>
    <w:rsid w:val="000157E7"/>
    <w:rsid w:val="000235B1"/>
    <w:rsid w:val="000304C9"/>
    <w:rsid w:val="000432BB"/>
    <w:rsid w:val="00050225"/>
    <w:rsid w:val="0005125F"/>
    <w:rsid w:val="00057A3C"/>
    <w:rsid w:val="00074FAD"/>
    <w:rsid w:val="00082EBC"/>
    <w:rsid w:val="000930AA"/>
    <w:rsid w:val="0009617B"/>
    <w:rsid w:val="000A050A"/>
    <w:rsid w:val="000B2019"/>
    <w:rsid w:val="000B62B8"/>
    <w:rsid w:val="000C1C1D"/>
    <w:rsid w:val="000C3879"/>
    <w:rsid w:val="000C7727"/>
    <w:rsid w:val="000D1884"/>
    <w:rsid w:val="000D3259"/>
    <w:rsid w:val="000D5EF4"/>
    <w:rsid w:val="001010FF"/>
    <w:rsid w:val="0010677D"/>
    <w:rsid w:val="00110290"/>
    <w:rsid w:val="00110F1C"/>
    <w:rsid w:val="00111A0F"/>
    <w:rsid w:val="0011339D"/>
    <w:rsid w:val="001209AF"/>
    <w:rsid w:val="00123264"/>
    <w:rsid w:val="00141975"/>
    <w:rsid w:val="00143334"/>
    <w:rsid w:val="00147ABD"/>
    <w:rsid w:val="0015304C"/>
    <w:rsid w:val="001530F4"/>
    <w:rsid w:val="0016328C"/>
    <w:rsid w:val="00167DAB"/>
    <w:rsid w:val="00173E4E"/>
    <w:rsid w:val="001740EC"/>
    <w:rsid w:val="0017509A"/>
    <w:rsid w:val="00177EFA"/>
    <w:rsid w:val="001871DF"/>
    <w:rsid w:val="001975CE"/>
    <w:rsid w:val="001A06AC"/>
    <w:rsid w:val="001A288C"/>
    <w:rsid w:val="001A32A4"/>
    <w:rsid w:val="001A33A4"/>
    <w:rsid w:val="001A43C6"/>
    <w:rsid w:val="001A5E0B"/>
    <w:rsid w:val="001A7174"/>
    <w:rsid w:val="001A7795"/>
    <w:rsid w:val="001B1A9A"/>
    <w:rsid w:val="001B1EAD"/>
    <w:rsid w:val="001B5E5C"/>
    <w:rsid w:val="001C0855"/>
    <w:rsid w:val="001C1B72"/>
    <w:rsid w:val="001D1D6E"/>
    <w:rsid w:val="001D5EBF"/>
    <w:rsid w:val="001E13EC"/>
    <w:rsid w:val="001E6025"/>
    <w:rsid w:val="001E62B5"/>
    <w:rsid w:val="001E692E"/>
    <w:rsid w:val="002248C9"/>
    <w:rsid w:val="0023270D"/>
    <w:rsid w:val="00233D82"/>
    <w:rsid w:val="00244D22"/>
    <w:rsid w:val="002528B2"/>
    <w:rsid w:val="002634B5"/>
    <w:rsid w:val="00267830"/>
    <w:rsid w:val="00270051"/>
    <w:rsid w:val="00271B72"/>
    <w:rsid w:val="002753D2"/>
    <w:rsid w:val="0028232E"/>
    <w:rsid w:val="0028756E"/>
    <w:rsid w:val="0029709A"/>
    <w:rsid w:val="002A29A7"/>
    <w:rsid w:val="002A4F75"/>
    <w:rsid w:val="002A700D"/>
    <w:rsid w:val="002B4E29"/>
    <w:rsid w:val="002B67D2"/>
    <w:rsid w:val="002C7F96"/>
    <w:rsid w:val="002D0E34"/>
    <w:rsid w:val="002D66CE"/>
    <w:rsid w:val="002F5147"/>
    <w:rsid w:val="002F792F"/>
    <w:rsid w:val="00303DDA"/>
    <w:rsid w:val="00305816"/>
    <w:rsid w:val="00307A61"/>
    <w:rsid w:val="00310FA4"/>
    <w:rsid w:val="00313891"/>
    <w:rsid w:val="00313BD5"/>
    <w:rsid w:val="00314B66"/>
    <w:rsid w:val="00316CAE"/>
    <w:rsid w:val="00322919"/>
    <w:rsid w:val="0032296D"/>
    <w:rsid w:val="00331EAE"/>
    <w:rsid w:val="00346841"/>
    <w:rsid w:val="003506D3"/>
    <w:rsid w:val="003534D2"/>
    <w:rsid w:val="00357AF8"/>
    <w:rsid w:val="003654FA"/>
    <w:rsid w:val="00365D0E"/>
    <w:rsid w:val="00373EC9"/>
    <w:rsid w:val="00374A42"/>
    <w:rsid w:val="00383CAE"/>
    <w:rsid w:val="00384661"/>
    <w:rsid w:val="00386C86"/>
    <w:rsid w:val="003879EA"/>
    <w:rsid w:val="003912B0"/>
    <w:rsid w:val="00396FCD"/>
    <w:rsid w:val="003A3962"/>
    <w:rsid w:val="003B34C0"/>
    <w:rsid w:val="003B374A"/>
    <w:rsid w:val="003B48DF"/>
    <w:rsid w:val="003B5B78"/>
    <w:rsid w:val="003C0092"/>
    <w:rsid w:val="003C2842"/>
    <w:rsid w:val="003D761B"/>
    <w:rsid w:val="003E50B4"/>
    <w:rsid w:val="003F33FF"/>
    <w:rsid w:val="003F4D90"/>
    <w:rsid w:val="00402648"/>
    <w:rsid w:val="0040271F"/>
    <w:rsid w:val="00403AA4"/>
    <w:rsid w:val="00413EB2"/>
    <w:rsid w:val="00414745"/>
    <w:rsid w:val="0041559D"/>
    <w:rsid w:val="004263E8"/>
    <w:rsid w:val="00431D9A"/>
    <w:rsid w:val="00436AF6"/>
    <w:rsid w:val="00450DC4"/>
    <w:rsid w:val="00453786"/>
    <w:rsid w:val="0045623C"/>
    <w:rsid w:val="00456F4B"/>
    <w:rsid w:val="00457228"/>
    <w:rsid w:val="00462AA3"/>
    <w:rsid w:val="004632E7"/>
    <w:rsid w:val="00470641"/>
    <w:rsid w:val="004768DB"/>
    <w:rsid w:val="00476FE6"/>
    <w:rsid w:val="00477F3E"/>
    <w:rsid w:val="00494294"/>
    <w:rsid w:val="00495A8F"/>
    <w:rsid w:val="004A3504"/>
    <w:rsid w:val="004A399B"/>
    <w:rsid w:val="004A4871"/>
    <w:rsid w:val="004A7053"/>
    <w:rsid w:val="004B3794"/>
    <w:rsid w:val="004B5778"/>
    <w:rsid w:val="004C3F65"/>
    <w:rsid w:val="004C4B25"/>
    <w:rsid w:val="004D26E2"/>
    <w:rsid w:val="004E00D9"/>
    <w:rsid w:val="004E2B4F"/>
    <w:rsid w:val="005001BD"/>
    <w:rsid w:val="00506A9D"/>
    <w:rsid w:val="00510CEA"/>
    <w:rsid w:val="00510DC4"/>
    <w:rsid w:val="00512006"/>
    <w:rsid w:val="00517127"/>
    <w:rsid w:val="00524A2D"/>
    <w:rsid w:val="00533DE8"/>
    <w:rsid w:val="00535057"/>
    <w:rsid w:val="00536917"/>
    <w:rsid w:val="00540820"/>
    <w:rsid w:val="00551CB7"/>
    <w:rsid w:val="00555C30"/>
    <w:rsid w:val="00561E09"/>
    <w:rsid w:val="005645FA"/>
    <w:rsid w:val="005775D9"/>
    <w:rsid w:val="0057773C"/>
    <w:rsid w:val="00580798"/>
    <w:rsid w:val="00580AD9"/>
    <w:rsid w:val="0058215E"/>
    <w:rsid w:val="00596C91"/>
    <w:rsid w:val="0059747E"/>
    <w:rsid w:val="005A2D7E"/>
    <w:rsid w:val="005A367E"/>
    <w:rsid w:val="005A486C"/>
    <w:rsid w:val="005B4504"/>
    <w:rsid w:val="005B6ED9"/>
    <w:rsid w:val="005C1381"/>
    <w:rsid w:val="005C7CF9"/>
    <w:rsid w:val="005D12B2"/>
    <w:rsid w:val="005D3CE8"/>
    <w:rsid w:val="005D7CB1"/>
    <w:rsid w:val="005E22B2"/>
    <w:rsid w:val="005E3452"/>
    <w:rsid w:val="005E4234"/>
    <w:rsid w:val="005F0D9B"/>
    <w:rsid w:val="005F3440"/>
    <w:rsid w:val="005F3CC0"/>
    <w:rsid w:val="00601FA2"/>
    <w:rsid w:val="0061543E"/>
    <w:rsid w:val="006164D2"/>
    <w:rsid w:val="00624351"/>
    <w:rsid w:val="00625309"/>
    <w:rsid w:val="00626F89"/>
    <w:rsid w:val="00633B4F"/>
    <w:rsid w:val="00644198"/>
    <w:rsid w:val="00645460"/>
    <w:rsid w:val="00650DC8"/>
    <w:rsid w:val="00651375"/>
    <w:rsid w:val="00661AF1"/>
    <w:rsid w:val="00662F11"/>
    <w:rsid w:val="006649FD"/>
    <w:rsid w:val="00665E13"/>
    <w:rsid w:val="006661F3"/>
    <w:rsid w:val="006724A9"/>
    <w:rsid w:val="0067274A"/>
    <w:rsid w:val="00673372"/>
    <w:rsid w:val="00685560"/>
    <w:rsid w:val="00687A3A"/>
    <w:rsid w:val="00693A10"/>
    <w:rsid w:val="00696CC5"/>
    <w:rsid w:val="006A5735"/>
    <w:rsid w:val="006A64B6"/>
    <w:rsid w:val="006A7520"/>
    <w:rsid w:val="006A76F7"/>
    <w:rsid w:val="006B41CD"/>
    <w:rsid w:val="006C028B"/>
    <w:rsid w:val="006C0DF2"/>
    <w:rsid w:val="006C63DE"/>
    <w:rsid w:val="006C7388"/>
    <w:rsid w:val="006D23A0"/>
    <w:rsid w:val="006D3178"/>
    <w:rsid w:val="006D44AA"/>
    <w:rsid w:val="006E049D"/>
    <w:rsid w:val="006E797F"/>
    <w:rsid w:val="006F0A27"/>
    <w:rsid w:val="006F33AC"/>
    <w:rsid w:val="006F36B6"/>
    <w:rsid w:val="006F51E3"/>
    <w:rsid w:val="00713D94"/>
    <w:rsid w:val="00716703"/>
    <w:rsid w:val="0072060B"/>
    <w:rsid w:val="007333D1"/>
    <w:rsid w:val="007338D3"/>
    <w:rsid w:val="007350DC"/>
    <w:rsid w:val="00737EC6"/>
    <w:rsid w:val="00752904"/>
    <w:rsid w:val="00766B8B"/>
    <w:rsid w:val="00772DEB"/>
    <w:rsid w:val="00781733"/>
    <w:rsid w:val="0078580B"/>
    <w:rsid w:val="00785EDC"/>
    <w:rsid w:val="00786FC6"/>
    <w:rsid w:val="00792E82"/>
    <w:rsid w:val="00795105"/>
    <w:rsid w:val="00796344"/>
    <w:rsid w:val="007A3DAC"/>
    <w:rsid w:val="007A3DDD"/>
    <w:rsid w:val="007A3E6D"/>
    <w:rsid w:val="007A5AA3"/>
    <w:rsid w:val="007A65E7"/>
    <w:rsid w:val="007B0E93"/>
    <w:rsid w:val="007B1780"/>
    <w:rsid w:val="007C3DF0"/>
    <w:rsid w:val="007C4DCF"/>
    <w:rsid w:val="007D5E1B"/>
    <w:rsid w:val="007D7BDB"/>
    <w:rsid w:val="007E2EED"/>
    <w:rsid w:val="007E5932"/>
    <w:rsid w:val="007E75AB"/>
    <w:rsid w:val="007F228D"/>
    <w:rsid w:val="007F6D4A"/>
    <w:rsid w:val="008015FF"/>
    <w:rsid w:val="008053F3"/>
    <w:rsid w:val="008063F8"/>
    <w:rsid w:val="008209E1"/>
    <w:rsid w:val="008231CB"/>
    <w:rsid w:val="008342EF"/>
    <w:rsid w:val="00837652"/>
    <w:rsid w:val="00850672"/>
    <w:rsid w:val="00854158"/>
    <w:rsid w:val="00857CFA"/>
    <w:rsid w:val="00860549"/>
    <w:rsid w:val="008636B9"/>
    <w:rsid w:val="0086407E"/>
    <w:rsid w:val="00873A72"/>
    <w:rsid w:val="00874DF7"/>
    <w:rsid w:val="0088034D"/>
    <w:rsid w:val="00882F33"/>
    <w:rsid w:val="00884CF3"/>
    <w:rsid w:val="0088511D"/>
    <w:rsid w:val="00885F94"/>
    <w:rsid w:val="00893B29"/>
    <w:rsid w:val="00895449"/>
    <w:rsid w:val="008B2FDE"/>
    <w:rsid w:val="008B7EFB"/>
    <w:rsid w:val="008C15EF"/>
    <w:rsid w:val="008C7A09"/>
    <w:rsid w:val="008D5381"/>
    <w:rsid w:val="008D7BE1"/>
    <w:rsid w:val="008E1285"/>
    <w:rsid w:val="008E1C83"/>
    <w:rsid w:val="009000D5"/>
    <w:rsid w:val="009059DE"/>
    <w:rsid w:val="0090629F"/>
    <w:rsid w:val="0091636E"/>
    <w:rsid w:val="00921CDB"/>
    <w:rsid w:val="00922CEB"/>
    <w:rsid w:val="0093440F"/>
    <w:rsid w:val="009404F8"/>
    <w:rsid w:val="00940EDB"/>
    <w:rsid w:val="00943210"/>
    <w:rsid w:val="0094382C"/>
    <w:rsid w:val="009440EA"/>
    <w:rsid w:val="00946357"/>
    <w:rsid w:val="00947839"/>
    <w:rsid w:val="00957FB8"/>
    <w:rsid w:val="00962872"/>
    <w:rsid w:val="00964E73"/>
    <w:rsid w:val="00971578"/>
    <w:rsid w:val="00973C38"/>
    <w:rsid w:val="009768FF"/>
    <w:rsid w:val="0097710D"/>
    <w:rsid w:val="00980664"/>
    <w:rsid w:val="009833AB"/>
    <w:rsid w:val="009918BE"/>
    <w:rsid w:val="009A3397"/>
    <w:rsid w:val="009B22D2"/>
    <w:rsid w:val="009B526F"/>
    <w:rsid w:val="009C1FAD"/>
    <w:rsid w:val="009C4BB6"/>
    <w:rsid w:val="009D34A6"/>
    <w:rsid w:val="009E5140"/>
    <w:rsid w:val="009E5CB3"/>
    <w:rsid w:val="009F5B6A"/>
    <w:rsid w:val="009F7387"/>
    <w:rsid w:val="00A018F9"/>
    <w:rsid w:val="00A02DE4"/>
    <w:rsid w:val="00A0551D"/>
    <w:rsid w:val="00A142E6"/>
    <w:rsid w:val="00A203DC"/>
    <w:rsid w:val="00A30CE2"/>
    <w:rsid w:val="00A31D56"/>
    <w:rsid w:val="00A37987"/>
    <w:rsid w:val="00A433BF"/>
    <w:rsid w:val="00A5196C"/>
    <w:rsid w:val="00A52F0B"/>
    <w:rsid w:val="00A540B0"/>
    <w:rsid w:val="00A55224"/>
    <w:rsid w:val="00A6324D"/>
    <w:rsid w:val="00A70B80"/>
    <w:rsid w:val="00A829C0"/>
    <w:rsid w:val="00A95759"/>
    <w:rsid w:val="00AA0EFE"/>
    <w:rsid w:val="00AA2999"/>
    <w:rsid w:val="00AA52CC"/>
    <w:rsid w:val="00AB5234"/>
    <w:rsid w:val="00AB5A87"/>
    <w:rsid w:val="00AC3E65"/>
    <w:rsid w:val="00AC7D3F"/>
    <w:rsid w:val="00AD354A"/>
    <w:rsid w:val="00AD4263"/>
    <w:rsid w:val="00AD6401"/>
    <w:rsid w:val="00AE090D"/>
    <w:rsid w:val="00AE0CE4"/>
    <w:rsid w:val="00AE1561"/>
    <w:rsid w:val="00AE1FCB"/>
    <w:rsid w:val="00AE3988"/>
    <w:rsid w:val="00AE6D0D"/>
    <w:rsid w:val="00AE7555"/>
    <w:rsid w:val="00AE76EC"/>
    <w:rsid w:val="00B03E7C"/>
    <w:rsid w:val="00B05751"/>
    <w:rsid w:val="00B13F22"/>
    <w:rsid w:val="00B172D8"/>
    <w:rsid w:val="00B43A49"/>
    <w:rsid w:val="00B57C89"/>
    <w:rsid w:val="00B60B65"/>
    <w:rsid w:val="00B614AE"/>
    <w:rsid w:val="00B63C19"/>
    <w:rsid w:val="00B67267"/>
    <w:rsid w:val="00B75BED"/>
    <w:rsid w:val="00B8620B"/>
    <w:rsid w:val="00B90C29"/>
    <w:rsid w:val="00B94A4C"/>
    <w:rsid w:val="00B96D40"/>
    <w:rsid w:val="00B9787F"/>
    <w:rsid w:val="00BA058A"/>
    <w:rsid w:val="00BA14A2"/>
    <w:rsid w:val="00BB3C16"/>
    <w:rsid w:val="00BB705E"/>
    <w:rsid w:val="00BC2F89"/>
    <w:rsid w:val="00BD303A"/>
    <w:rsid w:val="00BE2576"/>
    <w:rsid w:val="00BF2D60"/>
    <w:rsid w:val="00BF5FB5"/>
    <w:rsid w:val="00BF622B"/>
    <w:rsid w:val="00C03062"/>
    <w:rsid w:val="00C03F4A"/>
    <w:rsid w:val="00C14F3F"/>
    <w:rsid w:val="00C307D8"/>
    <w:rsid w:val="00C34368"/>
    <w:rsid w:val="00C356CE"/>
    <w:rsid w:val="00C43E9E"/>
    <w:rsid w:val="00C50513"/>
    <w:rsid w:val="00C52440"/>
    <w:rsid w:val="00C601FB"/>
    <w:rsid w:val="00C679CD"/>
    <w:rsid w:val="00C7679F"/>
    <w:rsid w:val="00C8014D"/>
    <w:rsid w:val="00C8014E"/>
    <w:rsid w:val="00C90B00"/>
    <w:rsid w:val="00C93FDB"/>
    <w:rsid w:val="00C9425E"/>
    <w:rsid w:val="00C96FDF"/>
    <w:rsid w:val="00CA07D4"/>
    <w:rsid w:val="00CA43C4"/>
    <w:rsid w:val="00CB2E8F"/>
    <w:rsid w:val="00CD2A68"/>
    <w:rsid w:val="00CD32C5"/>
    <w:rsid w:val="00CD3928"/>
    <w:rsid w:val="00CD6923"/>
    <w:rsid w:val="00CE59B0"/>
    <w:rsid w:val="00CF0856"/>
    <w:rsid w:val="00D046C6"/>
    <w:rsid w:val="00D10B77"/>
    <w:rsid w:val="00D2123C"/>
    <w:rsid w:val="00D3148A"/>
    <w:rsid w:val="00D348A9"/>
    <w:rsid w:val="00D34F9B"/>
    <w:rsid w:val="00D357AC"/>
    <w:rsid w:val="00D3681C"/>
    <w:rsid w:val="00D50901"/>
    <w:rsid w:val="00D53B46"/>
    <w:rsid w:val="00D87881"/>
    <w:rsid w:val="00D905AB"/>
    <w:rsid w:val="00D914CE"/>
    <w:rsid w:val="00D92E7E"/>
    <w:rsid w:val="00D93F28"/>
    <w:rsid w:val="00D943D2"/>
    <w:rsid w:val="00DA5B0D"/>
    <w:rsid w:val="00DA761F"/>
    <w:rsid w:val="00DB0BA3"/>
    <w:rsid w:val="00DC035B"/>
    <w:rsid w:val="00DC463A"/>
    <w:rsid w:val="00DD534D"/>
    <w:rsid w:val="00DE3088"/>
    <w:rsid w:val="00DF0770"/>
    <w:rsid w:val="00DF6C91"/>
    <w:rsid w:val="00E01117"/>
    <w:rsid w:val="00E02489"/>
    <w:rsid w:val="00E14386"/>
    <w:rsid w:val="00E14BF2"/>
    <w:rsid w:val="00E26CCC"/>
    <w:rsid w:val="00E30E2C"/>
    <w:rsid w:val="00E3353A"/>
    <w:rsid w:val="00E43B0A"/>
    <w:rsid w:val="00E469B6"/>
    <w:rsid w:val="00E46C49"/>
    <w:rsid w:val="00E527A2"/>
    <w:rsid w:val="00E52810"/>
    <w:rsid w:val="00E56F58"/>
    <w:rsid w:val="00E72E91"/>
    <w:rsid w:val="00E731ED"/>
    <w:rsid w:val="00E80F03"/>
    <w:rsid w:val="00E87220"/>
    <w:rsid w:val="00E935B1"/>
    <w:rsid w:val="00EA2A6B"/>
    <w:rsid w:val="00EA4FC6"/>
    <w:rsid w:val="00EB0F2C"/>
    <w:rsid w:val="00EB3C51"/>
    <w:rsid w:val="00EC338D"/>
    <w:rsid w:val="00EC4C64"/>
    <w:rsid w:val="00EC50EC"/>
    <w:rsid w:val="00EC56C2"/>
    <w:rsid w:val="00ED7639"/>
    <w:rsid w:val="00EE0433"/>
    <w:rsid w:val="00EE0744"/>
    <w:rsid w:val="00EE575F"/>
    <w:rsid w:val="00EE58E7"/>
    <w:rsid w:val="00EE6985"/>
    <w:rsid w:val="00EF032F"/>
    <w:rsid w:val="00EF19BB"/>
    <w:rsid w:val="00EF2A54"/>
    <w:rsid w:val="00F0159A"/>
    <w:rsid w:val="00F15307"/>
    <w:rsid w:val="00F200E1"/>
    <w:rsid w:val="00F2125C"/>
    <w:rsid w:val="00F23E5B"/>
    <w:rsid w:val="00F31092"/>
    <w:rsid w:val="00F52196"/>
    <w:rsid w:val="00F56176"/>
    <w:rsid w:val="00F656F1"/>
    <w:rsid w:val="00F67475"/>
    <w:rsid w:val="00F75316"/>
    <w:rsid w:val="00F839B7"/>
    <w:rsid w:val="00F84D00"/>
    <w:rsid w:val="00F86A74"/>
    <w:rsid w:val="00F86DCD"/>
    <w:rsid w:val="00F916CA"/>
    <w:rsid w:val="00F9694D"/>
    <w:rsid w:val="00FB1209"/>
    <w:rsid w:val="00FB176E"/>
    <w:rsid w:val="00FB54A1"/>
    <w:rsid w:val="00FC2283"/>
    <w:rsid w:val="00FC6FDA"/>
    <w:rsid w:val="00FC7462"/>
    <w:rsid w:val="00FC7F1F"/>
    <w:rsid w:val="00FD06F2"/>
    <w:rsid w:val="00FD499B"/>
    <w:rsid w:val="00FD49C9"/>
    <w:rsid w:val="00FE18E4"/>
    <w:rsid w:val="00FE218C"/>
    <w:rsid w:val="00FE616F"/>
    <w:rsid w:val="00FF76E1"/>
    <w:rsid w:val="0A824C33"/>
    <w:rsid w:val="0AE165A4"/>
    <w:rsid w:val="0CC46D3C"/>
    <w:rsid w:val="0FCB6765"/>
    <w:rsid w:val="21EA3932"/>
    <w:rsid w:val="246E7ED8"/>
    <w:rsid w:val="2C203FD9"/>
    <w:rsid w:val="2F181CC4"/>
    <w:rsid w:val="40D7572E"/>
    <w:rsid w:val="459C4ECC"/>
    <w:rsid w:val="4E67355D"/>
    <w:rsid w:val="50053461"/>
    <w:rsid w:val="564F14FE"/>
    <w:rsid w:val="60E9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customStyle="1" w:styleId="8">
    <w:name w:val="页眉 Char"/>
    <w:basedOn w:val="5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969</Words>
  <Characters>5529</Characters>
  <Lines>46</Lines>
  <Paragraphs>12</Paragraphs>
  <TotalTime>0</TotalTime>
  <ScaleCrop>false</ScaleCrop>
  <LinksUpToDate>false</LinksUpToDate>
  <CharactersWithSpaces>6486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2018-01-05T06:19:00Z</dcterms:created>
  <dc:creator>何吾志</dc:creator>
  <cp:lastModifiedBy>lenovo</cp:lastModifiedBy>
  <cp:lastPrinted>2022-01-11T00:29:00Z</cp:lastPrinted>
  <dcterms:modified xsi:type="dcterms:W3CDTF">2023-01-20T07:55:35Z</dcterms:modified>
  <dc:title>政府预决算相关重要事项的说明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