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both"/>
        <w:textAlignment w:val="auto"/>
        <w:rPr>
          <w:rFonts w:hint="eastAsia" w:ascii="仿宋_GB2312" w:eastAsia="仿宋_GB2312"/>
          <w:sz w:val="32"/>
          <w:szCs w:val="32"/>
          <w:lang w:eastAsia="zh-CN"/>
        </w:rPr>
      </w:pPr>
      <w:r>
        <w:rPr>
          <w:rFonts w:hint="eastAsia" w:ascii="仿宋_GB2312" w:eastAsia="仿宋_GB2312"/>
          <w:sz w:val="32"/>
          <w:szCs w:val="32"/>
          <w:lang w:eastAsia="zh-CN"/>
        </w:rPr>
        <w:t>附件：</w:t>
      </w:r>
    </w:p>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宋体" w:eastAsia="方正小标宋简体"/>
          <w:color w:val="000000"/>
          <w:kern w:val="2"/>
          <w:sz w:val="44"/>
          <w:szCs w:val="44"/>
          <w:lang w:val="en-US" w:eastAsia="zh-CN"/>
        </w:rPr>
      </w:pPr>
      <w:bookmarkStart w:id="0" w:name="_GoBack"/>
      <w:r>
        <w:rPr>
          <w:rFonts w:hint="eastAsia" w:ascii="方正小标宋简体" w:hAnsi="宋体" w:eastAsia="方正小标宋简体"/>
          <w:color w:val="000000"/>
          <w:kern w:val="2"/>
          <w:sz w:val="44"/>
          <w:szCs w:val="44"/>
          <w:lang w:val="en-US" w:eastAsia="zh-CN"/>
        </w:rPr>
        <w:t>外山乡进一步落实安全生产重点工作任务分解表</w:t>
      </w:r>
    </w:p>
    <w:bookmarkEnd w:id="0"/>
    <w:tbl>
      <w:tblPr>
        <w:tblStyle w:val="4"/>
        <w:tblW w:w="144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8"/>
        <w:gridCol w:w="10080"/>
        <w:gridCol w:w="3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b/>
                <w:sz w:val="32"/>
                <w:szCs w:val="32"/>
                <w:lang w:eastAsia="zh-CN"/>
              </w:rPr>
            </w:pPr>
            <w:r>
              <w:rPr>
                <w:rFonts w:hint="eastAsia" w:ascii="仿宋_GB2312" w:eastAsia="仿宋_GB2312"/>
                <w:b/>
                <w:sz w:val="32"/>
                <w:szCs w:val="32"/>
                <w:lang w:eastAsia="zh-CN"/>
              </w:rPr>
              <w:t>序号</w:t>
            </w:r>
          </w:p>
        </w:tc>
        <w:tc>
          <w:tcPr>
            <w:tcW w:w="10080"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b/>
                <w:sz w:val="32"/>
                <w:szCs w:val="32"/>
                <w:lang w:eastAsia="zh-CN"/>
              </w:rPr>
            </w:pPr>
            <w:r>
              <w:rPr>
                <w:rFonts w:hint="eastAsia" w:ascii="仿宋_GB2312" w:eastAsia="仿宋_GB2312"/>
                <w:b/>
                <w:sz w:val="32"/>
                <w:szCs w:val="32"/>
                <w:lang w:eastAsia="zh-CN"/>
              </w:rPr>
              <w:t>相关工作要求</w:t>
            </w:r>
          </w:p>
        </w:tc>
        <w:tc>
          <w:tcPr>
            <w:tcW w:w="3006"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b/>
                <w:sz w:val="32"/>
                <w:szCs w:val="32"/>
                <w:lang w:eastAsia="zh-CN"/>
              </w:rPr>
            </w:pPr>
            <w:r>
              <w:rPr>
                <w:rFonts w:hint="eastAsia" w:ascii="仿宋_GB2312" w:eastAsia="仿宋_GB2312"/>
                <w:b/>
                <w:sz w:val="32"/>
                <w:szCs w:val="32"/>
                <w:lang w:eastAsia="zh-CN"/>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lang w:eastAsia="zh-CN"/>
              </w:rPr>
            </w:pPr>
            <w:r>
              <w:rPr>
                <w:rFonts w:hint="eastAsia" w:ascii="仿宋_GB2312" w:eastAsia="仿宋_GB2312"/>
                <w:lang w:eastAsia="zh-CN"/>
              </w:rPr>
              <w:t>1</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eastAsia" w:ascii="仿宋_GB2312" w:eastAsia="仿宋_GB2312"/>
                <w:lang w:eastAsia="zh-CN"/>
              </w:rPr>
            </w:pPr>
            <w:r>
              <w:rPr>
                <w:rFonts w:hint="eastAsia" w:ascii="仿宋_GB2312" w:eastAsia="仿宋_GB2312"/>
                <w:lang w:eastAsia="zh-CN"/>
              </w:rPr>
              <w:t>要规范执法行为，加大安全生产执法处罚力度。要规范行政执法行为，落实执法全过程记录制度，综合运用文字记录、音像记录等方式，实现现场执法和案件办理全过程留痕和可回溯管理，规范执法程序，客观规范记录检查情况，检查后进行交流反馈，开展“说理式”执法，注重适用法律答疑解惑，提供安全咨询和整改指导。对涉及重大事故隐患和生产安全事故的行政刑事处罚案件要严格顶格、从严从快查处，要严肃执法纪律，严禁办“人情案”</w:t>
            </w:r>
          </w:p>
        </w:tc>
        <w:tc>
          <w:tcPr>
            <w:tcW w:w="3006"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sz w:val="32"/>
                <w:szCs w:val="32"/>
                <w:lang w:eastAsia="zh-CN"/>
              </w:rPr>
            </w:pPr>
            <w:r>
              <w:rPr>
                <w:rFonts w:hint="eastAsia" w:ascii="仿宋_GB2312" w:eastAsia="仿宋_GB2312"/>
                <w:lang w:eastAsia="zh-CN"/>
              </w:rPr>
              <w:t>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2</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eastAsia" w:ascii="仿宋_GB2312" w:eastAsia="仿宋_GB2312"/>
                <w:lang w:eastAsia="zh-CN"/>
              </w:rPr>
            </w:pPr>
            <w:r>
              <w:rPr>
                <w:rFonts w:hint="eastAsia" w:ascii="仿宋_GB2312" w:eastAsia="仿宋_GB2312"/>
                <w:lang w:eastAsia="zh-CN"/>
              </w:rPr>
              <w:t>要加密岁末年初安全风险隐患排查治理。严格落实安全生产重点领域百日攻坚专项行动要求，盯住消防、道路交通、燃气、建筑施工、危化品等重点行业领域，紧盯元旦、春节、元宵和全国、省、市“两会”等重要节点，组织开展安全大检查，对检查发现的重大风险隐患要分级建立台账清单，确保闭环整改到位；对隐患排查治理工作不落实、存在重大事故隐患整改不及时或整改不到位的生产经营单位，一律从严从重处罚，涉嫌刑事犯罪的，坚决依法追究刑事责任。</w:t>
            </w:r>
          </w:p>
        </w:tc>
        <w:tc>
          <w:tcPr>
            <w:tcW w:w="3006"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各村、各有关部门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368" w:type="dxa"/>
            <w:noWrap w:val="0"/>
            <w:vAlign w:val="top"/>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3</w:t>
            </w:r>
          </w:p>
        </w:tc>
        <w:tc>
          <w:tcPr>
            <w:tcW w:w="10080" w:type="dxa"/>
            <w:noWrap w:val="0"/>
            <w:vAlign w:val="center"/>
          </w:tcPr>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eastAsia" w:ascii="仿宋_GB2312" w:eastAsia="仿宋_GB2312"/>
                <w:lang w:eastAsia="zh-CN"/>
              </w:rPr>
            </w:pPr>
            <w:r>
              <w:rPr>
                <w:rFonts w:hint="eastAsia" w:ascii="仿宋_GB2312" w:eastAsia="仿宋_GB2312"/>
                <w:lang w:eastAsia="zh-CN"/>
              </w:rPr>
              <w:t>要对标先进乡镇,强化专业应急救援队伍能力建设，配齐应急救援装备物资。</w:t>
            </w:r>
          </w:p>
        </w:tc>
        <w:tc>
          <w:tcPr>
            <w:tcW w:w="3006" w:type="dxa"/>
            <w:noWrap w:val="0"/>
            <w:vAlign w:val="top"/>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lang w:eastAsia="zh-CN"/>
              </w:rPr>
            </w:pPr>
            <w:r>
              <w:rPr>
                <w:rFonts w:hint="eastAsia" w:ascii="仿宋_GB2312" w:eastAsia="仿宋_GB2312"/>
                <w:lang w:eastAsia="zh-CN"/>
              </w:rPr>
              <w:t>乡安办牵头、各有关部门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4</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eastAsia" w:ascii="仿宋_GB2312" w:eastAsia="仿宋_GB2312"/>
                <w:lang w:eastAsia="zh-CN"/>
              </w:rPr>
            </w:pPr>
            <w:r>
              <w:rPr>
                <w:rFonts w:hint="eastAsia" w:ascii="仿宋_GB2312" w:eastAsia="仿宋_GB2312"/>
                <w:lang w:eastAsia="zh-CN"/>
              </w:rPr>
              <w:t>要狠抓企业安全生产业务和硬件能力建设。将安全生产必备条件作为企业高质量发展的前提，清单化抓企业安全生产各种能力建设，鼓励和督促企业加大安全投入。</w:t>
            </w:r>
          </w:p>
        </w:tc>
        <w:tc>
          <w:tcPr>
            <w:tcW w:w="3006" w:type="dxa"/>
            <w:noWrap w:val="0"/>
            <w:vAlign w:val="top"/>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lang w:eastAsia="zh-CN"/>
              </w:rPr>
            </w:pPr>
            <w:r>
              <w:rPr>
                <w:rFonts w:hint="eastAsia" w:ascii="仿宋_GB2312" w:eastAsia="仿宋_GB2312"/>
                <w:lang w:eastAsia="zh-CN"/>
              </w:rPr>
              <w:t>乡安办牵头、各有关部门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5</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textAlignment w:val="auto"/>
              <w:rPr>
                <w:rFonts w:hint="eastAsia" w:ascii="仿宋_GB2312" w:eastAsia="仿宋_GB2312"/>
                <w:lang w:eastAsia="zh-CN"/>
              </w:rPr>
            </w:pPr>
            <w:r>
              <w:rPr>
                <w:rFonts w:hint="eastAsia" w:ascii="仿宋_GB2312" w:eastAsia="仿宋_GB2312"/>
                <w:lang w:eastAsia="zh-CN"/>
              </w:rPr>
              <w:t>要加强道路交通安全隐患排查治理，围绕人、车、设施、道路，全面梳理全乡道路交通安全隐患，按轻重缓急原则，有序推进整改落实。</w:t>
            </w:r>
          </w:p>
        </w:tc>
        <w:tc>
          <w:tcPr>
            <w:tcW w:w="3006" w:type="dxa"/>
            <w:noWrap w:val="0"/>
            <w:vAlign w:val="top"/>
          </w:tcPr>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lang w:eastAsia="zh-CN"/>
              </w:rPr>
            </w:pPr>
            <w:r>
              <w:rPr>
                <w:rFonts w:hint="eastAsia" w:ascii="仿宋_GB2312" w:eastAsia="仿宋_GB2312"/>
                <w:lang w:eastAsia="zh-CN"/>
              </w:rPr>
              <w:t>乡道安办、派出所、各村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6</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jc w:val="both"/>
              <w:textAlignment w:val="auto"/>
              <w:rPr>
                <w:rFonts w:hint="eastAsia" w:ascii="仿宋_GB2312" w:eastAsia="仿宋_GB2312"/>
                <w:lang w:eastAsia="zh-CN"/>
              </w:rPr>
            </w:pPr>
            <w:r>
              <w:rPr>
                <w:rFonts w:hint="eastAsia" w:ascii="仿宋_GB2312" w:eastAsia="仿宋_GB2312"/>
                <w:lang w:eastAsia="zh-CN"/>
              </w:rPr>
              <w:t>营造安全氛围。要充分发挥主流媒体的宣传阵地作用，全方位、全过程对安全生产、防灾减灾等工作进行广泛宣传发动和宣传报道，要定期宣传安全生产典型经验做法，每季度要宣传一批典型案例。同时，采取咨询活动、知识竞赛、专题讲座、作品征集等多种形式，扎实开展安全“四进”宣传，形成全社会关注支持、积极参与的良好氛围。</w:t>
            </w:r>
          </w:p>
        </w:tc>
        <w:tc>
          <w:tcPr>
            <w:tcW w:w="3006"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各有关部门、各村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7</w:t>
            </w:r>
          </w:p>
        </w:tc>
        <w:tc>
          <w:tcPr>
            <w:tcW w:w="10080" w:type="dxa"/>
            <w:noWrap w:val="0"/>
            <w:vAlign w:val="top"/>
          </w:tcPr>
          <w:p>
            <w:pPr>
              <w:keepNext w:val="0"/>
              <w:keepLines w:val="0"/>
              <w:pageBreakBefore w:val="0"/>
              <w:kinsoku/>
              <w:wordWrap/>
              <w:overflowPunct/>
              <w:topLinePunct w:val="0"/>
              <w:autoSpaceDE/>
              <w:autoSpaceDN/>
              <w:bidi w:val="0"/>
              <w:adjustRightInd/>
              <w:snapToGrid/>
              <w:spacing w:line="580" w:lineRule="exact"/>
              <w:ind w:firstLine="480" w:firstLineChars="200"/>
              <w:jc w:val="both"/>
              <w:textAlignment w:val="auto"/>
              <w:rPr>
                <w:rFonts w:hint="eastAsia" w:ascii="仿宋_GB2312" w:eastAsia="仿宋_GB2312"/>
                <w:lang w:eastAsia="zh-CN"/>
              </w:rPr>
            </w:pPr>
            <w:r>
              <w:rPr>
                <w:rFonts w:hint="eastAsia" w:ascii="仿宋_GB2312" w:eastAsia="仿宋_GB2312"/>
                <w:lang w:eastAsia="zh-CN"/>
              </w:rPr>
              <w:t>强化警示曝光。要通过美丽外山公众号、微信群等方式对行政执法典型处罚案例、非法违法被刑事追究案件进行集中曝光，用“身边人、身边事”强化事故警示教育和反面典型案例曝光，详细剖析案例的具体成因、过程，每次宣传持续2-3天，以案释法、形成震慑。</w:t>
            </w:r>
          </w:p>
        </w:tc>
        <w:tc>
          <w:tcPr>
            <w:tcW w:w="3006" w:type="dxa"/>
            <w:noWrap w:val="0"/>
            <w:vAlign w:val="center"/>
          </w:tcPr>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仿宋_GB2312" w:eastAsia="仿宋_GB2312"/>
                <w:lang w:eastAsia="zh-CN"/>
              </w:rPr>
            </w:pPr>
            <w:r>
              <w:rPr>
                <w:rFonts w:hint="eastAsia" w:ascii="仿宋_GB2312" w:eastAsia="仿宋_GB2312"/>
                <w:lang w:eastAsia="zh-CN"/>
              </w:rPr>
              <w:t>各有关部门、各村</w:t>
            </w:r>
          </w:p>
        </w:tc>
      </w:tr>
    </w:tbl>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eastAsia="仿宋_GB2312"/>
          <w:sz w:val="32"/>
          <w:szCs w:val="32"/>
          <w:lang w:eastAsia="zh-CN"/>
        </w:rPr>
      </w:pPr>
    </w:p>
    <w:p/>
    <w:sectPr>
      <w:pgSz w:w="16838" w:h="11906" w:orient="landscape"/>
      <w:pgMar w:top="1247" w:right="1418" w:bottom="124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mYzk1M2ZmNzQwOGEwNDhlMTllYTVjMjkxMGUxOGUifQ=="/>
  </w:docVars>
  <w:rsids>
    <w:rsidRoot w:val="72544353"/>
    <w:rsid w:val="72544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pPr>
    <w:rPr>
      <w:sz w:val="18"/>
      <w:szCs w:val="18"/>
    </w:rPr>
  </w:style>
  <w:style w:type="table" w:styleId="4">
    <w:name w:val="Table Grid"/>
    <w:basedOn w:val="3"/>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2024-05-07T01:27:00Z</dcterms:created>
  <dc:creator>WPS_1482310840</dc:creator>
  <cp:lastModifiedBy>WPS_1482310840</cp:lastModifiedBy>
  <dcterms:modified xsi:type="dcterms:W3CDTF">2024-05-07T01:28:11Z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44D4FB9B4B6A4BA0A6D090D6EE8655C0_11</vt:lpwstr>
  </property>
</Properties>
</file>