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宋体" w:eastAsiaTheme="minorEastAsia"/>
          <w:b/>
          <w:sz w:val="44"/>
          <w:szCs w:val="44"/>
          <w:lang w:eastAsia="zh-CN"/>
        </w:rPr>
      </w:pPr>
      <w:r>
        <w:rPr>
          <w:rFonts w:hint="eastAsia" w:hAnsi="宋体"/>
          <w:b/>
          <w:sz w:val="44"/>
          <w:szCs w:val="44"/>
        </w:rPr>
        <w:t>报价</w:t>
      </w:r>
      <w:r>
        <w:rPr>
          <w:rFonts w:hint="eastAsia" w:hAnsi="宋体"/>
          <w:b/>
          <w:sz w:val="44"/>
          <w:szCs w:val="44"/>
          <w:lang w:eastAsia="zh-CN"/>
        </w:rPr>
        <w:t>单</w:t>
      </w:r>
    </w:p>
    <w:p>
      <w:pPr>
        <w:spacing w:line="520" w:lineRule="exact"/>
        <w:jc w:val="center"/>
        <w:rPr>
          <w:rFonts w:hint="eastAsia" w:hAnsi="宋体"/>
          <w:b/>
          <w:sz w:val="28"/>
          <w:szCs w:val="28"/>
        </w:rPr>
      </w:pPr>
    </w:p>
    <w:tbl>
      <w:tblPr>
        <w:tblStyle w:val="14"/>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2347"/>
        <w:gridCol w:w="1650"/>
        <w:gridCol w:w="1582"/>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52" w:type="dxa"/>
            <w:tcBorders>
              <w:top w:val="single" w:color="auto" w:sz="6" w:space="0"/>
              <w:left w:val="single" w:color="auto" w:sz="6" w:space="0"/>
              <w:right w:val="single" w:color="auto" w:sz="6" w:space="0"/>
            </w:tcBorders>
            <w:noWrap w:val="0"/>
            <w:vAlign w:val="center"/>
          </w:tcPr>
          <w:p>
            <w:pPr>
              <w:jc w:val="center"/>
              <w:rPr>
                <w:rFonts w:hint="eastAsia" w:hAnsi="宋体"/>
                <w:b/>
                <w:szCs w:val="21"/>
              </w:rPr>
            </w:pPr>
            <w:r>
              <w:rPr>
                <w:rFonts w:hint="eastAsia" w:hAnsi="宋体"/>
                <w:b/>
                <w:szCs w:val="21"/>
              </w:rPr>
              <w:t>报价单位</w:t>
            </w:r>
          </w:p>
        </w:tc>
        <w:tc>
          <w:tcPr>
            <w:tcW w:w="3997" w:type="dxa"/>
            <w:gridSpan w:val="2"/>
            <w:tcBorders>
              <w:top w:val="single" w:color="auto" w:sz="6" w:space="0"/>
              <w:left w:val="single" w:color="auto" w:sz="6" w:space="0"/>
              <w:right w:val="single" w:color="auto" w:sz="6" w:space="0"/>
            </w:tcBorders>
            <w:noWrap w:val="0"/>
            <w:vAlign w:val="center"/>
          </w:tcPr>
          <w:p>
            <w:pPr>
              <w:jc w:val="center"/>
              <w:rPr>
                <w:rFonts w:hint="eastAsia"/>
                <w:sz w:val="24"/>
                <w:szCs w:val="24"/>
              </w:rPr>
            </w:pPr>
          </w:p>
        </w:tc>
        <w:tc>
          <w:tcPr>
            <w:tcW w:w="1582" w:type="dxa"/>
            <w:tcBorders>
              <w:top w:val="single" w:color="auto" w:sz="6" w:space="0"/>
              <w:left w:val="single" w:color="auto" w:sz="6" w:space="0"/>
              <w:right w:val="single" w:color="auto" w:sz="4" w:space="0"/>
            </w:tcBorders>
            <w:noWrap w:val="0"/>
            <w:vAlign w:val="center"/>
          </w:tcPr>
          <w:p>
            <w:pPr>
              <w:jc w:val="center"/>
              <w:rPr>
                <w:rFonts w:hint="eastAsia"/>
                <w:b/>
                <w:szCs w:val="21"/>
              </w:rPr>
            </w:pPr>
            <w:r>
              <w:rPr>
                <w:rFonts w:hint="eastAsia"/>
                <w:b/>
                <w:szCs w:val="21"/>
              </w:rPr>
              <w:t>报价时间</w:t>
            </w:r>
          </w:p>
        </w:tc>
        <w:tc>
          <w:tcPr>
            <w:tcW w:w="2434" w:type="dxa"/>
            <w:tcBorders>
              <w:top w:val="single" w:color="auto" w:sz="6" w:space="0"/>
              <w:left w:val="single" w:color="auto" w:sz="4" w:space="0"/>
              <w:right w:val="single" w:color="auto" w:sz="6" w:space="0"/>
            </w:tcBorders>
            <w:noWrap w:val="0"/>
            <w:vAlign w:val="center"/>
          </w:tcPr>
          <w:p>
            <w:pPr>
              <w:jc w:val="center"/>
              <w:rPr>
                <w:rFonts w:hint="eastAsia"/>
                <w:szCs w:val="21"/>
              </w:rPr>
            </w:pPr>
            <w:r>
              <w:rPr>
                <w:rFonts w:hint="eastAsia"/>
                <w:szCs w:val="21"/>
              </w:rPr>
              <w:t xml:space="preserve">年  </w:t>
            </w:r>
            <w:r>
              <w:rPr>
                <w:rFonts w:hint="eastAsia"/>
                <w:szCs w:val="21"/>
                <w:lang w:val="en-US" w:eastAsia="zh-CN"/>
              </w:rPr>
              <w:t xml:space="preserve"> </w:t>
            </w:r>
            <w:r>
              <w:rPr>
                <w:rFonts w:hint="eastAsia"/>
                <w:szCs w:val="21"/>
              </w:rPr>
              <w:t xml:space="preserve">月 </w:t>
            </w:r>
            <w:r>
              <w:rPr>
                <w:rFonts w:hint="eastAsia"/>
                <w:szCs w:val="21"/>
                <w:lang w:val="en-US" w:eastAsia="zh-CN"/>
              </w:rPr>
              <w:t xml:space="preserve"> </w:t>
            </w:r>
            <w:r>
              <w:rPr>
                <w:rFonts w:hint="eastAsia"/>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84" w:hRule="exact"/>
          <w:jc w:val="center"/>
        </w:trPr>
        <w:tc>
          <w:tcPr>
            <w:tcW w:w="1152" w:type="dxa"/>
            <w:tcBorders>
              <w:top w:val="single" w:color="auto" w:sz="6" w:space="0"/>
              <w:left w:val="single" w:color="auto" w:sz="6" w:space="0"/>
              <w:right w:val="single" w:color="auto" w:sz="6" w:space="0"/>
            </w:tcBorders>
            <w:noWrap w:val="0"/>
            <w:vAlign w:val="center"/>
          </w:tcPr>
          <w:p>
            <w:pPr>
              <w:jc w:val="center"/>
              <w:rPr>
                <w:rFonts w:hint="eastAsia" w:hAnsi="宋体"/>
                <w:b/>
                <w:szCs w:val="21"/>
              </w:rPr>
            </w:pPr>
            <w:r>
              <w:rPr>
                <w:rFonts w:hAnsi="宋体"/>
                <w:b/>
                <w:szCs w:val="21"/>
              </w:rPr>
              <w:t>项目</w:t>
            </w:r>
          </w:p>
        </w:tc>
        <w:tc>
          <w:tcPr>
            <w:tcW w:w="3997" w:type="dxa"/>
            <w:gridSpan w:val="2"/>
            <w:tcBorders>
              <w:top w:val="single" w:color="auto" w:sz="6" w:space="0"/>
              <w:left w:val="single" w:color="auto" w:sz="6" w:space="0"/>
              <w:right w:val="single" w:color="auto" w:sz="6" w:space="0"/>
            </w:tcBorders>
            <w:noWrap w:val="0"/>
            <w:vAlign w:val="center"/>
          </w:tcPr>
          <w:p>
            <w:pPr>
              <w:jc w:val="left"/>
              <w:rPr>
                <w:rFonts w:hint="eastAsia" w:eastAsiaTheme="minorEastAsia"/>
                <w:szCs w:val="21"/>
                <w:lang w:eastAsia="zh-CN"/>
              </w:rPr>
            </w:pPr>
            <w:r>
              <w:rPr>
                <w:rFonts w:hint="eastAsia"/>
                <w:sz w:val="21"/>
                <w:szCs w:val="21"/>
                <w:lang w:eastAsia="zh-CN"/>
              </w:rPr>
              <w:t>2025年永春县中小学班级多媒体教学设备采购项目</w:t>
            </w:r>
          </w:p>
        </w:tc>
        <w:tc>
          <w:tcPr>
            <w:tcW w:w="1582" w:type="dxa"/>
            <w:tcBorders>
              <w:top w:val="dotted" w:color="auto" w:sz="4" w:space="0"/>
              <w:left w:val="single" w:color="auto" w:sz="6" w:space="0"/>
              <w:right w:val="single" w:color="auto" w:sz="6" w:space="0"/>
            </w:tcBorders>
            <w:noWrap w:val="0"/>
            <w:vAlign w:val="center"/>
          </w:tcPr>
          <w:p>
            <w:pPr>
              <w:jc w:val="center"/>
              <w:rPr>
                <w:rFonts w:hint="eastAsia"/>
                <w:b/>
                <w:szCs w:val="21"/>
              </w:rPr>
            </w:pPr>
            <w:r>
              <w:rPr>
                <w:rFonts w:hint="eastAsia"/>
                <w:b/>
                <w:szCs w:val="21"/>
              </w:rPr>
              <w:t>报价人及联系电话</w:t>
            </w:r>
          </w:p>
        </w:tc>
        <w:tc>
          <w:tcPr>
            <w:tcW w:w="2434" w:type="dxa"/>
            <w:tcBorders>
              <w:top w:val="dotted" w:color="auto" w:sz="4" w:space="0"/>
              <w:left w:val="single" w:color="auto" w:sz="6" w:space="0"/>
              <w:right w:val="single" w:color="auto" w:sz="6" w:space="0"/>
            </w:tcBorders>
            <w:noWrap w:val="0"/>
            <w:vAlign w:val="center"/>
          </w:tcPr>
          <w:p>
            <w:pPr>
              <w:ind w:firstLine="105" w:firstLineChars="5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9" w:hRule="exact"/>
          <w:jc w:val="center"/>
        </w:trPr>
        <w:tc>
          <w:tcPr>
            <w:tcW w:w="3499" w:type="dxa"/>
            <w:gridSpan w:val="2"/>
            <w:tcBorders>
              <w:top w:val="single" w:color="auto" w:sz="6" w:space="0"/>
              <w:left w:val="single" w:color="auto" w:sz="4" w:space="0"/>
              <w:right w:val="single" w:color="auto" w:sz="4" w:space="0"/>
            </w:tcBorders>
            <w:noWrap w:val="0"/>
            <w:vAlign w:val="center"/>
          </w:tcPr>
          <w:p>
            <w:pPr>
              <w:ind w:firstLine="105" w:firstLineChars="50"/>
              <w:jc w:val="center"/>
              <w:rPr>
                <w:rFonts w:hint="eastAsia"/>
                <w:szCs w:val="21"/>
              </w:rPr>
            </w:pPr>
            <w:r>
              <w:rPr>
                <w:rFonts w:hint="eastAsia"/>
                <w:szCs w:val="21"/>
              </w:rPr>
              <w:t>项目</w:t>
            </w:r>
          </w:p>
        </w:tc>
        <w:tc>
          <w:tcPr>
            <w:tcW w:w="1650" w:type="dxa"/>
            <w:tcBorders>
              <w:top w:val="single" w:color="auto" w:sz="6" w:space="0"/>
              <w:left w:val="single" w:color="auto" w:sz="4" w:space="0"/>
              <w:right w:val="single" w:color="auto" w:sz="6" w:space="0"/>
            </w:tcBorders>
            <w:noWrap w:val="0"/>
            <w:vAlign w:val="center"/>
          </w:tcPr>
          <w:p>
            <w:pPr>
              <w:jc w:val="center"/>
              <w:rPr>
                <w:rFonts w:hint="eastAsia"/>
                <w:szCs w:val="21"/>
              </w:rPr>
            </w:pPr>
            <w:r>
              <w:rPr>
                <w:rFonts w:hint="eastAsia"/>
                <w:szCs w:val="21"/>
              </w:rPr>
              <w:t>单价（万元）</w:t>
            </w:r>
          </w:p>
        </w:tc>
        <w:tc>
          <w:tcPr>
            <w:tcW w:w="1582" w:type="dxa"/>
            <w:tcBorders>
              <w:top w:val="single" w:color="auto" w:sz="6" w:space="0"/>
              <w:left w:val="single" w:color="auto" w:sz="4" w:space="0"/>
              <w:right w:val="single" w:color="auto" w:sz="6" w:space="0"/>
            </w:tcBorders>
            <w:noWrap w:val="0"/>
            <w:vAlign w:val="center"/>
          </w:tcPr>
          <w:p>
            <w:pPr>
              <w:ind w:firstLine="105" w:firstLineChars="50"/>
              <w:jc w:val="center"/>
              <w:rPr>
                <w:rFonts w:hint="eastAsia"/>
                <w:szCs w:val="21"/>
              </w:rPr>
            </w:pPr>
            <w:r>
              <w:rPr>
                <w:rFonts w:hint="eastAsia"/>
                <w:szCs w:val="21"/>
              </w:rPr>
              <w:t>总价（万元）</w:t>
            </w:r>
          </w:p>
        </w:tc>
        <w:tc>
          <w:tcPr>
            <w:tcW w:w="2434" w:type="dxa"/>
            <w:tcBorders>
              <w:top w:val="single" w:color="auto" w:sz="6" w:space="0"/>
              <w:left w:val="single" w:color="auto" w:sz="4" w:space="0"/>
              <w:right w:val="single" w:color="auto" w:sz="6" w:space="0"/>
            </w:tcBorders>
            <w:noWrap w:val="0"/>
            <w:vAlign w:val="center"/>
          </w:tcPr>
          <w:p>
            <w:pPr>
              <w:ind w:firstLine="105" w:firstLineChars="50"/>
              <w:jc w:val="center"/>
              <w:rPr>
                <w:rFonts w:hint="eastAsia"/>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29" w:hRule="exact"/>
          <w:jc w:val="center"/>
        </w:trPr>
        <w:tc>
          <w:tcPr>
            <w:tcW w:w="3499" w:type="dxa"/>
            <w:gridSpan w:val="2"/>
            <w:tcBorders>
              <w:top w:val="single" w:color="auto" w:sz="6" w:space="0"/>
              <w:left w:val="single" w:color="auto" w:sz="4" w:space="0"/>
              <w:right w:val="single" w:color="auto" w:sz="4" w:space="0"/>
            </w:tcBorders>
            <w:noWrap w:val="0"/>
            <w:vAlign w:val="center"/>
          </w:tcPr>
          <w:p>
            <w:pPr>
              <w:jc w:val="center"/>
              <w:rPr>
                <w:rFonts w:hint="eastAsia"/>
                <w:szCs w:val="21"/>
              </w:rPr>
            </w:pPr>
          </w:p>
        </w:tc>
        <w:tc>
          <w:tcPr>
            <w:tcW w:w="1650" w:type="dxa"/>
            <w:tcBorders>
              <w:top w:val="single" w:color="auto" w:sz="6" w:space="0"/>
              <w:left w:val="single" w:color="auto" w:sz="4" w:space="0"/>
              <w:right w:val="single" w:color="auto" w:sz="6" w:space="0"/>
            </w:tcBorders>
            <w:noWrap w:val="0"/>
            <w:vAlign w:val="center"/>
          </w:tcPr>
          <w:p>
            <w:pPr>
              <w:jc w:val="center"/>
              <w:rPr>
                <w:rFonts w:hint="eastAsia"/>
                <w:szCs w:val="21"/>
              </w:rPr>
            </w:pPr>
          </w:p>
        </w:tc>
        <w:tc>
          <w:tcPr>
            <w:tcW w:w="1582" w:type="dxa"/>
            <w:tcBorders>
              <w:top w:val="single" w:color="auto" w:sz="6" w:space="0"/>
              <w:left w:val="single" w:color="auto" w:sz="4" w:space="0"/>
              <w:right w:val="single" w:color="auto" w:sz="6" w:space="0"/>
            </w:tcBorders>
            <w:noWrap w:val="0"/>
            <w:vAlign w:val="center"/>
          </w:tcPr>
          <w:p>
            <w:pPr>
              <w:jc w:val="center"/>
              <w:rPr>
                <w:rFonts w:hint="eastAsia"/>
                <w:szCs w:val="21"/>
              </w:rPr>
            </w:pPr>
          </w:p>
        </w:tc>
        <w:tc>
          <w:tcPr>
            <w:tcW w:w="2434" w:type="dxa"/>
            <w:tcBorders>
              <w:top w:val="single" w:color="auto" w:sz="6" w:space="0"/>
              <w:left w:val="single" w:color="auto" w:sz="4" w:space="0"/>
              <w:right w:val="single" w:color="auto" w:sz="6" w:space="0"/>
            </w:tcBorders>
            <w:noWrap w:val="0"/>
            <w:vAlign w:val="center"/>
          </w:tcPr>
          <w:p>
            <w:pPr>
              <w:jc w:val="center"/>
              <w:rPr>
                <w:rFonts w:hint="eastAsia"/>
                <w:szCs w:val="21"/>
              </w:rPr>
            </w:pPr>
            <w:r>
              <w:rPr>
                <w:rFonts w:hint="eastAsia" w:ascii="仿宋_GB2312" w:hAnsi="宋体" w:eastAsia="仿宋_GB2312" w:cs="Arial Unicode M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exact"/>
          <w:jc w:val="center"/>
        </w:trPr>
        <w:tc>
          <w:tcPr>
            <w:tcW w:w="3499" w:type="dxa"/>
            <w:gridSpan w:val="2"/>
            <w:tcBorders>
              <w:top w:val="single" w:color="auto" w:sz="4" w:space="0"/>
              <w:left w:val="single" w:color="auto" w:sz="4" w:space="0"/>
              <w:right w:val="single" w:color="auto" w:sz="4" w:space="0"/>
            </w:tcBorders>
            <w:noWrap w:val="0"/>
            <w:vAlign w:val="center"/>
          </w:tcPr>
          <w:p>
            <w:pPr>
              <w:jc w:val="left"/>
              <w:rPr>
                <w:rFonts w:hint="eastAsia"/>
                <w:szCs w:val="21"/>
              </w:rPr>
            </w:pPr>
          </w:p>
        </w:tc>
        <w:tc>
          <w:tcPr>
            <w:tcW w:w="1650" w:type="dxa"/>
            <w:tcBorders>
              <w:top w:val="single" w:color="auto" w:sz="4" w:space="0"/>
              <w:left w:val="single" w:color="auto" w:sz="4" w:space="0"/>
              <w:right w:val="single" w:color="auto" w:sz="6" w:space="0"/>
            </w:tcBorders>
            <w:noWrap w:val="0"/>
            <w:vAlign w:val="center"/>
          </w:tcPr>
          <w:p>
            <w:pPr>
              <w:jc w:val="left"/>
              <w:rPr>
                <w:rFonts w:hint="eastAsia"/>
                <w:szCs w:val="21"/>
              </w:rPr>
            </w:pPr>
          </w:p>
        </w:tc>
        <w:tc>
          <w:tcPr>
            <w:tcW w:w="1582" w:type="dxa"/>
            <w:tcBorders>
              <w:left w:val="single" w:color="auto" w:sz="4" w:space="0"/>
              <w:right w:val="single" w:color="auto" w:sz="6" w:space="0"/>
            </w:tcBorders>
            <w:noWrap w:val="0"/>
            <w:vAlign w:val="center"/>
          </w:tcPr>
          <w:p>
            <w:pPr>
              <w:jc w:val="left"/>
              <w:rPr>
                <w:rFonts w:hint="eastAsia"/>
                <w:szCs w:val="21"/>
              </w:rPr>
            </w:pPr>
          </w:p>
        </w:tc>
        <w:tc>
          <w:tcPr>
            <w:tcW w:w="2434" w:type="dxa"/>
            <w:tcBorders>
              <w:left w:val="single" w:color="auto" w:sz="4" w:space="0"/>
              <w:right w:val="single" w:color="auto" w:sz="6" w:space="0"/>
            </w:tcBorders>
            <w:noWrap w:val="0"/>
            <w:vAlign w:val="center"/>
          </w:tcPr>
          <w:p>
            <w:pPr>
              <w:jc w:val="left"/>
              <w:rPr>
                <w:rFonts w:hint="eastAsia"/>
                <w:szCs w:val="21"/>
              </w:rPr>
            </w:pPr>
            <w:r>
              <w:rPr>
                <w:rFonts w:hint="eastAsia" w:ascii="仿宋_GB2312" w:hAnsi="宋体" w:eastAsia="仿宋_GB2312" w:cs="Arial Unicode M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8" w:hRule="atLeast"/>
          <w:jc w:val="center"/>
        </w:trPr>
        <w:tc>
          <w:tcPr>
            <w:tcW w:w="5149" w:type="dxa"/>
            <w:gridSpan w:val="3"/>
            <w:tcBorders>
              <w:top w:val="single" w:color="auto" w:sz="6" w:space="0"/>
              <w:left w:val="single" w:color="auto" w:sz="6" w:space="0"/>
              <w:bottom w:val="single" w:color="auto" w:sz="4" w:space="0"/>
              <w:right w:val="single" w:color="auto" w:sz="4" w:space="0"/>
            </w:tcBorders>
            <w:noWrap w:val="0"/>
            <w:vAlign w:val="center"/>
          </w:tcPr>
          <w:p>
            <w:pPr>
              <w:spacing w:line="360" w:lineRule="auto"/>
              <w:jc w:val="center"/>
              <w:rPr>
                <w:rFonts w:hint="eastAsia"/>
                <w:b/>
                <w:szCs w:val="21"/>
              </w:rPr>
            </w:pPr>
            <w:r>
              <w:rPr>
                <w:rFonts w:hint="eastAsia"/>
                <w:b/>
                <w:szCs w:val="21"/>
                <w:lang w:val="en-US" w:eastAsia="zh-CN"/>
              </w:rPr>
              <w:t xml:space="preserve"> </w:t>
            </w:r>
            <w:r>
              <w:rPr>
                <w:rFonts w:hint="eastAsia"/>
                <w:b/>
                <w:szCs w:val="21"/>
              </w:rPr>
              <w:t>合</w:t>
            </w:r>
            <w:r>
              <w:rPr>
                <w:rFonts w:hint="eastAsia"/>
                <w:b/>
                <w:szCs w:val="21"/>
                <w:lang w:val="en-US" w:eastAsia="zh-CN"/>
              </w:rPr>
              <w:t xml:space="preserve">  </w:t>
            </w:r>
            <w:r>
              <w:rPr>
                <w:rFonts w:hint="eastAsia"/>
                <w:b/>
                <w:szCs w:val="21"/>
              </w:rPr>
              <w:t>计</w:t>
            </w:r>
          </w:p>
        </w:tc>
        <w:tc>
          <w:tcPr>
            <w:tcW w:w="1582" w:type="dxa"/>
            <w:tcBorders>
              <w:top w:val="single" w:color="auto" w:sz="6" w:space="0"/>
              <w:left w:val="single" w:color="auto" w:sz="4" w:space="0"/>
              <w:bottom w:val="single" w:color="auto" w:sz="4" w:space="0"/>
              <w:right w:val="single" w:color="auto" w:sz="4" w:space="0"/>
            </w:tcBorders>
            <w:noWrap w:val="0"/>
            <w:vAlign w:val="top"/>
          </w:tcPr>
          <w:p>
            <w:pPr>
              <w:widowControl/>
              <w:jc w:val="left"/>
              <w:rPr>
                <w:b/>
                <w:szCs w:val="21"/>
              </w:rPr>
            </w:pPr>
          </w:p>
          <w:p>
            <w:pPr>
              <w:spacing w:line="360" w:lineRule="auto"/>
              <w:rPr>
                <w:rFonts w:hint="eastAsia"/>
                <w:b/>
                <w:szCs w:val="21"/>
              </w:rPr>
            </w:pPr>
          </w:p>
        </w:tc>
        <w:tc>
          <w:tcPr>
            <w:tcW w:w="2434" w:type="dxa"/>
            <w:tcBorders>
              <w:top w:val="single" w:color="auto" w:sz="6" w:space="0"/>
              <w:left w:val="single" w:color="auto" w:sz="4" w:space="0"/>
              <w:bottom w:val="single" w:color="auto" w:sz="4" w:space="0"/>
              <w:right w:val="single" w:color="auto" w:sz="6" w:space="0"/>
            </w:tcBorders>
            <w:noWrap w:val="0"/>
            <w:vAlign w:val="top"/>
          </w:tcPr>
          <w:p>
            <w:pPr>
              <w:widowControl/>
              <w:jc w:val="left"/>
              <w:rPr>
                <w:b/>
                <w:szCs w:val="21"/>
              </w:rPr>
            </w:pPr>
          </w:p>
          <w:p>
            <w:pPr>
              <w:spacing w:line="360" w:lineRule="auto"/>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10" w:hRule="atLeast"/>
          <w:jc w:val="center"/>
        </w:trPr>
        <w:tc>
          <w:tcPr>
            <w:tcW w:w="9165" w:type="dxa"/>
            <w:gridSpan w:val="5"/>
            <w:tcBorders>
              <w:top w:val="single" w:color="auto" w:sz="4" w:space="0"/>
              <w:left w:val="single" w:color="auto" w:sz="6" w:space="0"/>
              <w:right w:val="single" w:color="auto" w:sz="6" w:space="0"/>
            </w:tcBorders>
            <w:noWrap w:val="0"/>
            <w:vAlign w:val="top"/>
          </w:tcPr>
          <w:p>
            <w:pPr>
              <w:spacing w:line="360" w:lineRule="auto"/>
              <w:rPr>
                <w:rFonts w:hint="eastAsia" w:hAnsi="宋体"/>
                <w:b/>
                <w:szCs w:val="21"/>
              </w:rPr>
            </w:pPr>
          </w:p>
          <w:p>
            <w:pPr>
              <w:spacing w:line="360" w:lineRule="auto"/>
              <w:rPr>
                <w:rFonts w:hint="eastAsia" w:hAnsi="宋体"/>
                <w:b/>
                <w:szCs w:val="21"/>
              </w:rPr>
            </w:pPr>
          </w:p>
          <w:p>
            <w:pPr>
              <w:spacing w:line="360" w:lineRule="auto"/>
              <w:rPr>
                <w:rFonts w:hint="eastAsia" w:hAnsi="宋体"/>
                <w:b/>
                <w:szCs w:val="21"/>
              </w:rPr>
            </w:pPr>
            <w:r>
              <w:rPr>
                <w:rFonts w:hint="eastAsia" w:hAnsi="宋体"/>
                <w:b/>
                <w:szCs w:val="21"/>
              </w:rPr>
              <w:t>报价单位经办人签名：</w:t>
            </w:r>
          </w:p>
          <w:p>
            <w:pPr>
              <w:spacing w:line="360" w:lineRule="auto"/>
              <w:rPr>
                <w:rFonts w:hint="eastAsia"/>
                <w:b/>
                <w:szCs w:val="21"/>
              </w:rPr>
            </w:pPr>
          </w:p>
          <w:p>
            <w:pPr>
              <w:spacing w:line="360" w:lineRule="auto"/>
              <w:rPr>
                <w:rFonts w:hint="eastAsia"/>
                <w:b/>
                <w:szCs w:val="21"/>
              </w:rPr>
            </w:pPr>
            <w:r>
              <w:rPr>
                <w:rFonts w:hint="eastAsia"/>
                <w:b/>
                <w:szCs w:val="21"/>
              </w:rPr>
              <w:t xml:space="preserve">                          </w:t>
            </w:r>
          </w:p>
          <w:p>
            <w:pPr>
              <w:spacing w:line="360" w:lineRule="auto"/>
              <w:rPr>
                <w:rFonts w:hint="eastAsia"/>
                <w:b/>
                <w:szCs w:val="21"/>
              </w:rPr>
            </w:pPr>
          </w:p>
          <w:p>
            <w:pPr>
              <w:spacing w:line="360" w:lineRule="auto"/>
              <w:rPr>
                <w:rFonts w:hint="eastAsia"/>
                <w:b/>
                <w:szCs w:val="21"/>
              </w:rPr>
            </w:pPr>
          </w:p>
          <w:p>
            <w:pPr>
              <w:spacing w:line="360" w:lineRule="auto"/>
              <w:ind w:firstLine="3887" w:firstLineChars="1844"/>
              <w:rPr>
                <w:rFonts w:hint="eastAsia"/>
                <w:b/>
                <w:szCs w:val="21"/>
              </w:rPr>
            </w:pPr>
            <w:r>
              <w:rPr>
                <w:rFonts w:hint="eastAsia"/>
                <w:b/>
                <w:szCs w:val="21"/>
              </w:rPr>
              <w:t xml:space="preserve"> </w:t>
            </w:r>
            <w:r>
              <w:rPr>
                <w:rFonts w:hint="eastAsia"/>
                <w:b/>
                <w:szCs w:val="21"/>
                <w:lang w:val="en-US" w:eastAsia="zh-CN"/>
              </w:rPr>
              <w:t xml:space="preserve">               </w:t>
            </w:r>
            <w:r>
              <w:rPr>
                <w:rFonts w:hint="eastAsia"/>
                <w:b/>
                <w:szCs w:val="21"/>
              </w:rPr>
              <w:t xml:space="preserve"> 单位（盖章）：</w:t>
            </w:r>
          </w:p>
          <w:p>
            <w:pPr>
              <w:spacing w:line="360" w:lineRule="auto"/>
              <w:rPr>
                <w:rFonts w:hint="eastAsia" w:hAnsi="宋体"/>
                <w:b/>
                <w:szCs w:val="21"/>
              </w:rPr>
            </w:pPr>
          </w:p>
        </w:tc>
      </w:tr>
    </w:tbl>
    <w:p>
      <w:pPr>
        <w:pStyle w:val="12"/>
        <w:rPr>
          <w:rFonts w:hint="eastAsia" w:ascii="Times New Roman" w:hAnsi="Times New Roman" w:eastAsia="宋体" w:cs="Times New Roman"/>
          <w:b/>
          <w:bCs w:val="0"/>
          <w:kern w:val="2"/>
          <w:sz w:val="36"/>
          <w:szCs w:val="36"/>
          <w:lang w:val="en-US" w:eastAsia="zh-CN" w:bidi="ar-SA"/>
        </w:rPr>
      </w:pPr>
    </w:p>
    <w:p>
      <w:pPr>
        <w:pStyle w:val="12"/>
        <w:rPr>
          <w:rFonts w:hint="eastAsia" w:ascii="Times New Roman" w:hAnsi="Times New Roman" w:eastAsia="宋体" w:cs="Times New Roman"/>
          <w:b/>
          <w:bCs w:val="0"/>
          <w:kern w:val="2"/>
          <w:sz w:val="36"/>
          <w:szCs w:val="36"/>
          <w:lang w:val="en-US" w:eastAsia="zh-CN" w:bidi="ar-SA"/>
        </w:rPr>
      </w:pPr>
    </w:p>
    <w:p>
      <w:pPr>
        <w:pStyle w:val="12"/>
        <w:rPr>
          <w:rFonts w:hint="eastAsia" w:ascii="Times New Roman" w:hAnsi="Times New Roman" w:eastAsia="宋体" w:cs="Times New Roman"/>
          <w:b/>
          <w:bCs w:val="0"/>
          <w:kern w:val="2"/>
          <w:sz w:val="36"/>
          <w:szCs w:val="36"/>
          <w:lang w:val="en-US" w:eastAsia="zh-CN" w:bidi="ar-SA"/>
        </w:rPr>
      </w:pPr>
    </w:p>
    <w:p>
      <w:pPr>
        <w:pStyle w:val="12"/>
        <w:rPr>
          <w:rFonts w:hint="eastAsia" w:ascii="Times New Roman" w:hAnsi="Times New Roman" w:eastAsia="宋体" w:cs="Times New Roman"/>
          <w:b/>
          <w:bCs w:val="0"/>
          <w:kern w:val="2"/>
          <w:sz w:val="36"/>
          <w:szCs w:val="36"/>
          <w:lang w:val="en-US" w:eastAsia="zh-CN" w:bidi="ar-SA"/>
        </w:rPr>
      </w:pPr>
    </w:p>
    <w:p>
      <w:pPr>
        <w:pStyle w:val="12"/>
        <w:rPr>
          <w:rFonts w:hint="eastAsia" w:ascii="Times New Roman" w:hAnsi="Times New Roman" w:eastAsia="宋体" w:cs="Times New Roman"/>
          <w:b/>
          <w:bCs w:val="0"/>
          <w:kern w:val="2"/>
          <w:sz w:val="36"/>
          <w:szCs w:val="36"/>
          <w:lang w:val="en-US" w:eastAsia="zh-CN" w:bidi="ar-SA"/>
        </w:rPr>
      </w:pPr>
      <w:r>
        <w:rPr>
          <w:rFonts w:hint="eastAsia" w:ascii="Times New Roman" w:hAnsi="Times New Roman" w:eastAsia="宋体" w:cs="Times New Roman"/>
          <w:b/>
          <w:bCs w:val="0"/>
          <w:kern w:val="2"/>
          <w:sz w:val="36"/>
          <w:szCs w:val="36"/>
          <w:lang w:val="en-US" w:eastAsia="zh-CN" w:bidi="ar-SA"/>
        </w:rPr>
        <w:t>202</w:t>
      </w:r>
      <w:r>
        <w:rPr>
          <w:rFonts w:hint="eastAsia" w:ascii="Times New Roman" w:hAnsi="Times New Roman" w:cs="Times New Roman"/>
          <w:b/>
          <w:bCs w:val="0"/>
          <w:kern w:val="2"/>
          <w:sz w:val="36"/>
          <w:szCs w:val="36"/>
          <w:lang w:val="en-US" w:eastAsia="zh-CN" w:bidi="ar-SA"/>
        </w:rPr>
        <w:t>5</w:t>
      </w:r>
      <w:r>
        <w:rPr>
          <w:rFonts w:hint="eastAsia" w:ascii="Times New Roman" w:hAnsi="Times New Roman" w:eastAsia="宋体" w:cs="Times New Roman"/>
          <w:b/>
          <w:bCs w:val="0"/>
          <w:kern w:val="2"/>
          <w:sz w:val="36"/>
          <w:szCs w:val="36"/>
          <w:lang w:val="en-US" w:eastAsia="zh-CN" w:bidi="ar-SA"/>
        </w:rPr>
        <w:t>年永春县中小</w:t>
      </w:r>
      <w:r>
        <w:rPr>
          <w:rFonts w:hint="eastAsia" w:ascii="Times New Roman" w:hAnsi="Times New Roman" w:cs="Times New Roman"/>
          <w:b/>
          <w:bCs w:val="0"/>
          <w:kern w:val="2"/>
          <w:sz w:val="36"/>
          <w:szCs w:val="36"/>
          <w:lang w:val="en-US" w:eastAsia="zh-CN" w:bidi="ar-SA"/>
        </w:rPr>
        <w:t>学班级多媒体教学设备</w:t>
      </w:r>
      <w:r>
        <w:rPr>
          <w:rFonts w:hint="eastAsia" w:ascii="Times New Roman" w:hAnsi="Times New Roman" w:eastAsia="宋体" w:cs="Times New Roman"/>
          <w:b/>
          <w:bCs w:val="0"/>
          <w:kern w:val="2"/>
          <w:sz w:val="36"/>
          <w:szCs w:val="36"/>
          <w:lang w:val="en-US" w:eastAsia="zh-CN" w:bidi="ar-SA"/>
        </w:rPr>
        <w:t>采购方案</w:t>
      </w:r>
    </w:p>
    <w:p>
      <w:pPr>
        <w:pStyle w:val="11"/>
        <w:widowControl/>
        <w:spacing w:beforeAutospacing="0" w:afterAutospacing="0" w:line="400" w:lineRule="exact"/>
        <w:jc w:val="center"/>
        <w:rPr>
          <w:rStyle w:val="17"/>
          <w:sz w:val="44"/>
          <w:szCs w:val="44"/>
        </w:rPr>
      </w:pPr>
    </w:p>
    <w:p>
      <w:pPr>
        <w:pStyle w:val="11"/>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一、采购项目</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2025年度永春县中小学班级多媒体教学设备采购76套，7月20日前完成项目采购签约，8月31日前新安装设备100%可用。</w:t>
      </w:r>
    </w:p>
    <w:p>
      <w:pPr>
        <w:rPr>
          <w:rFonts w:hint="eastAsia"/>
          <w:lang w:val="en-US" w:eastAsia="zh-CN"/>
        </w:rPr>
      </w:pPr>
      <w:r>
        <w:rPr>
          <w:rFonts w:hint="eastAsia" w:ascii="仿宋" w:hAnsi="仿宋" w:eastAsia="仿宋" w:cs="Times New Roman"/>
          <w:kern w:val="2"/>
          <w:sz w:val="28"/>
          <w:szCs w:val="28"/>
          <w:lang w:val="en-US" w:eastAsia="zh-CN" w:bidi="ar-SA"/>
        </w:rPr>
        <w:t xml:space="preserve">   项目采购人：永春县教育局</w:t>
      </w:r>
    </w:p>
    <w:p>
      <w:pP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二、2025年永春县中小学班级多媒体教学设备分配表</w:t>
      </w:r>
      <w:r>
        <w:rPr>
          <w:rFonts w:hint="eastAsia" w:ascii="仿宋" w:hAnsi="仿宋" w:eastAsia="仿宋" w:cs="Times New Roman"/>
          <w:b/>
          <w:bCs/>
          <w:kern w:val="2"/>
          <w:sz w:val="28"/>
          <w:szCs w:val="28"/>
          <w:lang w:val="en-US" w:eastAsia="zh-CN" w:bidi="ar-SA"/>
        </w:rPr>
        <w:tab/>
      </w:r>
    </w:p>
    <w:tbl>
      <w:tblPr>
        <w:tblStyle w:val="14"/>
        <w:tblW w:w="8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4021"/>
        <w:gridCol w:w="3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8495" w:type="dxa"/>
            <w:gridSpan w:val="3"/>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ascii="方正小标宋简体" w:hAnsi="方正小标宋简体" w:eastAsia="方正小标宋简体" w:cs="方正小标宋简体"/>
                <w:i w:val="0"/>
                <w:iCs w:val="0"/>
                <w:color w:val="000000"/>
                <w:sz w:val="28"/>
                <w:szCs w:val="28"/>
                <w:u w:val="none"/>
              </w:rPr>
            </w:pPr>
            <w:r>
              <w:rPr>
                <w:rFonts w:hint="default" w:ascii="仿宋" w:hAnsi="仿宋" w:eastAsia="仿宋" w:cs="Times New Roman"/>
                <w:b/>
                <w:bCs/>
                <w:kern w:val="2"/>
                <w:sz w:val="28"/>
                <w:szCs w:val="28"/>
                <w:lang w:val="en-US" w:eastAsia="zh-CN" w:bidi="ar-SA"/>
              </w:rPr>
              <w:t>永春县</w:t>
            </w:r>
            <w:r>
              <w:rPr>
                <w:rFonts w:hint="eastAsia" w:ascii="仿宋" w:hAnsi="仿宋" w:eastAsia="仿宋" w:cs="Times New Roman"/>
                <w:b/>
                <w:bCs/>
                <w:kern w:val="2"/>
                <w:sz w:val="28"/>
                <w:szCs w:val="28"/>
                <w:lang w:val="en-US" w:eastAsia="zh-CN" w:bidi="ar-SA"/>
              </w:rPr>
              <w:t>中小学班级多媒体教学设备分配表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小标宋简体" w:hAnsi="方正小标宋简体" w:eastAsia="方正小标宋简体" w:cs="方正小标宋简体"/>
                <w:i w:val="0"/>
                <w:iCs w:val="0"/>
                <w:color w:val="000000"/>
                <w:sz w:val="28"/>
                <w:szCs w:val="28"/>
                <w:u w:val="none"/>
              </w:rPr>
            </w:pPr>
            <w:r>
              <w:rPr>
                <w:rFonts w:hint="default" w:ascii="方正小标宋简体" w:hAnsi="方正小标宋简体" w:eastAsia="方正小标宋简体" w:cs="方正小标宋简体"/>
                <w:i w:val="0"/>
                <w:iCs w:val="0"/>
                <w:color w:val="000000"/>
                <w:kern w:val="0"/>
                <w:sz w:val="28"/>
                <w:szCs w:val="28"/>
                <w:u w:val="none"/>
                <w:lang w:val="en-US" w:eastAsia="zh-CN" w:bidi="ar"/>
              </w:rPr>
              <w:t>序号</w:t>
            </w:r>
          </w:p>
        </w:tc>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学校</w:t>
            </w:r>
          </w:p>
        </w:tc>
        <w:tc>
          <w:tcPr>
            <w:tcW w:w="3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分解任务（套）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福建省永春第一中学</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福建省永春美岭中学</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福建省永春第二中学</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福建省永春第五中学</w:t>
            </w:r>
          </w:p>
        </w:tc>
        <w:tc>
          <w:tcPr>
            <w:tcW w:w="3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福建省永春苏坑中学</w:t>
            </w:r>
          </w:p>
        </w:tc>
        <w:tc>
          <w:tcPr>
            <w:tcW w:w="3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福建省永春汤城中学</w:t>
            </w:r>
          </w:p>
        </w:tc>
        <w:tc>
          <w:tcPr>
            <w:tcW w:w="3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福建省永春吾峰中学</w:t>
            </w:r>
          </w:p>
        </w:tc>
        <w:tc>
          <w:tcPr>
            <w:tcW w:w="3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福建省永春介福中学</w:t>
            </w:r>
          </w:p>
        </w:tc>
        <w:tc>
          <w:tcPr>
            <w:tcW w:w="3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福建省永春第一中学文明分校</w:t>
            </w:r>
          </w:p>
        </w:tc>
        <w:tc>
          <w:tcPr>
            <w:tcW w:w="3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永春县仙夹学校</w:t>
            </w:r>
          </w:p>
        </w:tc>
        <w:tc>
          <w:tcPr>
            <w:tcW w:w="3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永春县桃城中心小学</w:t>
            </w:r>
          </w:p>
        </w:tc>
        <w:tc>
          <w:tcPr>
            <w:tcW w:w="3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永春县五里街中心小学</w:t>
            </w:r>
          </w:p>
        </w:tc>
        <w:tc>
          <w:tcPr>
            <w:tcW w:w="3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永春县化龙实验小学</w:t>
            </w:r>
          </w:p>
        </w:tc>
        <w:tc>
          <w:tcPr>
            <w:tcW w:w="3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永春县榜头实验小学</w:t>
            </w:r>
          </w:p>
        </w:tc>
        <w:tc>
          <w:tcPr>
            <w:tcW w:w="3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永春县吾峰中心小学</w:t>
            </w:r>
          </w:p>
        </w:tc>
        <w:tc>
          <w:tcPr>
            <w:tcW w:w="3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0" w:type="dxa"/>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28"/>
                <w:szCs w:val="28"/>
                <w:u w:val="none"/>
              </w:rPr>
            </w:pPr>
          </w:p>
        </w:tc>
        <w:tc>
          <w:tcPr>
            <w:tcW w:w="4021" w:type="dxa"/>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合计</w:t>
            </w:r>
          </w:p>
        </w:tc>
        <w:tc>
          <w:tcPr>
            <w:tcW w:w="3674" w:type="dxa"/>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76</w:t>
            </w:r>
          </w:p>
        </w:tc>
      </w:tr>
    </w:tbl>
    <w:p>
      <w:pPr>
        <w:pStyle w:val="11"/>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三、技术和服务要求</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根据</w:t>
      </w:r>
      <w:bookmarkStart w:id="0" w:name="dispatchname"/>
      <w:r>
        <w:rPr>
          <w:rFonts w:hint="eastAsia" w:ascii="仿宋" w:hAnsi="仿宋" w:eastAsia="仿宋" w:cs="Times New Roman"/>
          <w:kern w:val="2"/>
          <w:sz w:val="28"/>
          <w:szCs w:val="28"/>
          <w:lang w:val="en-US" w:eastAsia="zh-CN" w:bidi="ar-SA"/>
        </w:rPr>
        <w:t>《</w:t>
      </w:r>
      <w:r>
        <w:rPr>
          <w:rFonts w:hint="default" w:ascii="仿宋" w:hAnsi="仿宋" w:eastAsia="仿宋" w:cs="Times New Roman"/>
          <w:kern w:val="2"/>
          <w:sz w:val="28"/>
          <w:szCs w:val="28"/>
          <w:lang w:val="en-US" w:eastAsia="zh-CN" w:bidi="ar-SA"/>
        </w:rPr>
        <w:t>泉州市教育局 泉州市财政局关于印发&lt;202</w:t>
      </w:r>
      <w:r>
        <w:rPr>
          <w:rFonts w:hint="eastAsia" w:ascii="仿宋" w:hAnsi="仿宋" w:eastAsia="仿宋" w:cs="Times New Roman"/>
          <w:kern w:val="2"/>
          <w:sz w:val="28"/>
          <w:szCs w:val="28"/>
          <w:lang w:val="en-US" w:eastAsia="zh-CN" w:bidi="ar-SA"/>
        </w:rPr>
        <w:t>4</w:t>
      </w:r>
      <w:r>
        <w:rPr>
          <w:rFonts w:hint="default" w:ascii="仿宋" w:hAnsi="仿宋" w:eastAsia="仿宋" w:cs="Times New Roman"/>
          <w:kern w:val="2"/>
          <w:sz w:val="28"/>
          <w:szCs w:val="28"/>
          <w:lang w:val="en-US" w:eastAsia="zh-CN" w:bidi="ar-SA"/>
        </w:rPr>
        <w:t>年泉州市中小学</w:t>
      </w:r>
      <w:r>
        <w:rPr>
          <w:rFonts w:hint="eastAsia" w:ascii="仿宋" w:hAnsi="仿宋" w:eastAsia="仿宋" w:cs="Times New Roman"/>
          <w:kern w:val="2"/>
          <w:sz w:val="28"/>
          <w:szCs w:val="28"/>
          <w:lang w:val="en-US" w:eastAsia="zh-CN" w:bidi="ar-SA"/>
        </w:rPr>
        <w:t>班级多媒体教学设备全覆盖</w:t>
      </w:r>
      <w:r>
        <w:rPr>
          <w:rFonts w:hint="default" w:ascii="仿宋" w:hAnsi="仿宋" w:eastAsia="仿宋" w:cs="Times New Roman"/>
          <w:kern w:val="2"/>
          <w:sz w:val="28"/>
          <w:szCs w:val="28"/>
          <w:lang w:val="en-US" w:eastAsia="zh-CN" w:bidi="ar-SA"/>
        </w:rPr>
        <w:t>工程实施方案&gt;的通知</w:t>
      </w:r>
      <w:bookmarkEnd w:id="0"/>
      <w:r>
        <w:rPr>
          <w:rFonts w:hint="eastAsia" w:ascii="仿宋" w:hAnsi="仿宋" w:eastAsia="仿宋" w:cs="Times New Roman"/>
          <w:kern w:val="2"/>
          <w:sz w:val="28"/>
          <w:szCs w:val="28"/>
          <w:lang w:val="en-US" w:eastAsia="zh-CN" w:bidi="ar-SA"/>
        </w:rPr>
        <w:t>》（</w:t>
      </w:r>
      <w:r>
        <w:rPr>
          <w:rFonts w:hint="default" w:ascii="仿宋" w:hAnsi="仿宋" w:eastAsia="仿宋" w:cs="Times New Roman"/>
          <w:kern w:val="2"/>
          <w:sz w:val="28"/>
          <w:szCs w:val="28"/>
          <w:lang w:val="en-US" w:eastAsia="zh-CN" w:bidi="ar-SA"/>
        </w:rPr>
        <w:t>泉教</w:t>
      </w:r>
      <w:r>
        <w:rPr>
          <w:rFonts w:hint="eastAsia" w:ascii="仿宋" w:hAnsi="仿宋" w:eastAsia="仿宋" w:cs="Times New Roman"/>
          <w:kern w:val="2"/>
          <w:sz w:val="28"/>
          <w:szCs w:val="28"/>
          <w:lang w:val="en-US" w:eastAsia="zh-CN" w:bidi="ar-SA"/>
        </w:rPr>
        <w:t>装</w:t>
      </w:r>
      <w:r>
        <w:rPr>
          <w:rFonts w:hint="default" w:ascii="仿宋" w:hAnsi="仿宋" w:eastAsia="仿宋" w:cs="Times New Roman"/>
          <w:kern w:val="2"/>
          <w:sz w:val="28"/>
          <w:szCs w:val="28"/>
          <w:lang w:val="en-US" w:eastAsia="zh-CN" w:bidi="ar-SA"/>
        </w:rPr>
        <w:t>〔202</w:t>
      </w:r>
      <w:r>
        <w:rPr>
          <w:rFonts w:hint="eastAsia" w:ascii="仿宋" w:hAnsi="仿宋" w:eastAsia="仿宋" w:cs="Times New Roman"/>
          <w:kern w:val="2"/>
          <w:sz w:val="28"/>
          <w:szCs w:val="28"/>
          <w:lang w:val="en-US" w:eastAsia="zh-CN" w:bidi="ar-SA"/>
        </w:rPr>
        <w:t>4</w:t>
      </w:r>
      <w:r>
        <w:rPr>
          <w:rFonts w:hint="default" w:ascii="仿宋" w:hAnsi="仿宋" w:eastAsia="仿宋" w:cs="Times New Roman"/>
          <w:kern w:val="2"/>
          <w:sz w:val="28"/>
          <w:szCs w:val="28"/>
          <w:lang w:val="en-US" w:eastAsia="zh-CN" w:bidi="ar-SA"/>
        </w:rPr>
        <w:t>〕</w:t>
      </w:r>
      <w:r>
        <w:rPr>
          <w:rFonts w:hint="eastAsia" w:ascii="仿宋" w:hAnsi="仿宋" w:eastAsia="仿宋" w:cs="Times New Roman"/>
          <w:kern w:val="2"/>
          <w:sz w:val="28"/>
          <w:szCs w:val="28"/>
          <w:lang w:val="en-US" w:eastAsia="zh-CN" w:bidi="ar-SA"/>
        </w:rPr>
        <w:t>1</w:t>
      </w:r>
      <w:r>
        <w:rPr>
          <w:rFonts w:hint="default" w:ascii="仿宋" w:hAnsi="仿宋" w:eastAsia="仿宋" w:cs="Times New Roman"/>
          <w:kern w:val="2"/>
          <w:sz w:val="28"/>
          <w:szCs w:val="28"/>
          <w:lang w:val="en-US" w:eastAsia="zh-CN" w:bidi="ar-SA"/>
        </w:rPr>
        <w:t>号</w:t>
      </w:r>
      <w:r>
        <w:rPr>
          <w:rFonts w:hint="eastAsia" w:ascii="仿宋" w:hAnsi="仿宋" w:eastAsia="仿宋" w:cs="Times New Roman"/>
          <w:kern w:val="2"/>
          <w:sz w:val="28"/>
          <w:szCs w:val="28"/>
          <w:lang w:val="en-US" w:eastAsia="zh-CN" w:bidi="ar-SA"/>
        </w:rPr>
        <w:t>）文件，以2022年1月省教育厅印发的《福建省小学教育技术装备标准》《福建省初中教育技术装备标准》（闽教规〔2022〕2号）中关于多媒体普通教室设备配置要求等为依据执行。产品入选安可替代工程核心产品目录，所采购设备的CPU 和操作系统等关键部件应当符合安全可靠测评要求。</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1、2025年8月31日前完成安装、调试，并委托专家或有资质的第三方进行验收，验收费用由供应商支付。</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2、提供整体三年质保服务（质保期从验收之日起算，厂家或国家有更长质量保证期限规定的从其规定），在质量保证期内如出现故障，免费提供咨询、维修、更换等服务。   </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3、本次采购产品安装、调试等阶段，同步免费对相关学校的相关人员进行基本知识、操作使用、维护等方面的现场技术培训，使受训人员能熟练掌握项目的相关知识，</w:t>
      </w:r>
      <w:r>
        <w:rPr>
          <w:rFonts w:hint="default" w:ascii="仿宋" w:hAnsi="仿宋" w:eastAsia="仿宋" w:cs="Times New Roman"/>
          <w:kern w:val="2"/>
          <w:sz w:val="28"/>
          <w:szCs w:val="28"/>
          <w:lang w:val="en-US" w:eastAsia="zh-CN" w:bidi="ar-SA"/>
        </w:rPr>
        <w:t>达到能正确使用</w:t>
      </w:r>
      <w:r>
        <w:rPr>
          <w:rFonts w:hint="eastAsia" w:ascii="仿宋" w:hAnsi="仿宋" w:eastAsia="仿宋" w:cs="Times New Roman"/>
          <w:kern w:val="2"/>
          <w:sz w:val="28"/>
          <w:szCs w:val="28"/>
          <w:lang w:val="en-US" w:eastAsia="zh-CN" w:bidi="ar-SA"/>
        </w:rPr>
        <w:t>、</w:t>
      </w:r>
      <w:r>
        <w:rPr>
          <w:rFonts w:hint="default" w:ascii="仿宋" w:hAnsi="仿宋" w:eastAsia="仿宋" w:cs="Times New Roman"/>
          <w:kern w:val="2"/>
          <w:sz w:val="28"/>
          <w:szCs w:val="28"/>
          <w:lang w:val="en-US" w:eastAsia="zh-CN" w:bidi="ar-SA"/>
        </w:rPr>
        <w:t>维护设备和系统的水平</w:t>
      </w:r>
      <w:r>
        <w:rPr>
          <w:rFonts w:hint="eastAsia" w:ascii="仿宋" w:hAnsi="仿宋" w:eastAsia="仿宋" w:cs="Times New Roman"/>
          <w:kern w:val="2"/>
          <w:sz w:val="28"/>
          <w:szCs w:val="28"/>
          <w:lang w:val="en-US" w:eastAsia="zh-CN" w:bidi="ar-SA"/>
        </w:rPr>
        <w:t>，以保证产品售后的良好运行状态。</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4、触控一体机、壁挂高清展台、交互式推拉黑板及相关安装材料要求。</w:t>
      </w:r>
    </w:p>
    <w:tbl>
      <w:tblPr>
        <w:tblStyle w:val="14"/>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942"/>
        <w:gridCol w:w="6859"/>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699" w:type="dxa"/>
            <w:vAlign w:val="center"/>
          </w:tcPr>
          <w:p>
            <w:pPr>
              <w:pStyle w:val="24"/>
              <w:ind w:right="120"/>
              <w:rPr>
                <w:rFonts w:ascii="宋体" w:hAnsi="宋体" w:cs="宋体"/>
                <w:sz w:val="24"/>
                <w:szCs w:val="24"/>
              </w:rPr>
            </w:pPr>
            <w:r>
              <w:rPr>
                <w:rFonts w:hint="eastAsia" w:ascii="宋体" w:hAnsi="宋体" w:cs="宋体"/>
                <w:sz w:val="24"/>
                <w:szCs w:val="24"/>
              </w:rPr>
              <w:t>序号</w:t>
            </w:r>
          </w:p>
        </w:tc>
        <w:tc>
          <w:tcPr>
            <w:tcW w:w="942" w:type="dxa"/>
            <w:vAlign w:val="center"/>
          </w:tcPr>
          <w:p>
            <w:pPr>
              <w:pStyle w:val="24"/>
              <w:ind w:right="120"/>
              <w:rPr>
                <w:rFonts w:ascii="宋体" w:hAnsi="宋体" w:cs="宋体"/>
                <w:sz w:val="24"/>
                <w:szCs w:val="24"/>
              </w:rPr>
            </w:pPr>
            <w:r>
              <w:rPr>
                <w:rFonts w:hint="eastAsia" w:ascii="宋体" w:hAnsi="宋体" w:cs="宋体"/>
                <w:sz w:val="24"/>
                <w:szCs w:val="24"/>
              </w:rPr>
              <w:t>设备名称</w:t>
            </w:r>
          </w:p>
        </w:tc>
        <w:tc>
          <w:tcPr>
            <w:tcW w:w="6859" w:type="dxa"/>
            <w:vAlign w:val="center"/>
          </w:tcPr>
          <w:p>
            <w:pPr>
              <w:pStyle w:val="24"/>
              <w:ind w:right="120"/>
              <w:jc w:val="center"/>
              <w:rPr>
                <w:rFonts w:ascii="宋体" w:hAnsi="宋体" w:cs="宋体"/>
                <w:sz w:val="24"/>
                <w:szCs w:val="24"/>
              </w:rPr>
            </w:pPr>
            <w:r>
              <w:rPr>
                <w:rFonts w:hint="eastAsia" w:ascii="宋体" w:hAnsi="宋体" w:cs="宋体"/>
                <w:sz w:val="24"/>
                <w:szCs w:val="24"/>
              </w:rPr>
              <w:t>技术参数</w:t>
            </w:r>
          </w:p>
        </w:tc>
        <w:tc>
          <w:tcPr>
            <w:tcW w:w="883" w:type="dxa"/>
            <w:vAlign w:val="center"/>
          </w:tcPr>
          <w:p>
            <w:pPr>
              <w:pStyle w:val="24"/>
              <w:ind w:right="120"/>
              <w:rPr>
                <w:rFonts w:ascii="宋体" w:hAnsi="宋体" w:cs="宋体"/>
                <w:sz w:val="24"/>
                <w:szCs w:val="24"/>
              </w:rPr>
            </w:pPr>
            <w:r>
              <w:rPr>
                <w:rFonts w:hint="eastAsia" w:ascii="宋体" w:hAnsi="宋体" w:cs="宋体"/>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9" w:type="dxa"/>
            <w:vAlign w:val="center"/>
          </w:tcPr>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942" w:type="dxa"/>
            <w:vAlign w:val="center"/>
          </w:tcPr>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000000" w:themeColor="text1"/>
                <w:sz w:val="24"/>
                <w:szCs w:val="24"/>
                <w14:textFill>
                  <w14:solidFill>
                    <w14:schemeClr w14:val="tx1"/>
                  </w14:solidFill>
                </w14:textFill>
              </w:rPr>
            </w:pP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触控一体机</w:t>
            </w:r>
          </w:p>
        </w:tc>
        <w:tc>
          <w:tcPr>
            <w:tcW w:w="6859" w:type="dxa"/>
          </w:tcPr>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一、显示模块及整机性能：</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000000" w:themeColor="text1"/>
                <w:sz w:val="24"/>
                <w:szCs w:val="24"/>
                <w14:textFill>
                  <w14:solidFill>
                    <w14:schemeClr w14:val="tx1"/>
                  </w14:solidFill>
                </w14:textFill>
              </w:rPr>
              <w:t>1、LED液</w:t>
            </w:r>
            <w:r>
              <w:rPr>
                <w:rFonts w:hint="eastAsia" w:ascii="宋体" w:hAnsi="宋体" w:cs="宋体"/>
                <w:color w:val="auto"/>
                <w:sz w:val="24"/>
                <w:szCs w:val="24"/>
              </w:rPr>
              <w:t>晶屏体，显示尺寸≥86寸，分辨率≥3840*2160, 屏体亮度≥</w:t>
            </w:r>
            <w:r>
              <w:rPr>
                <w:rFonts w:hint="default" w:ascii="宋体" w:hAnsi="宋体" w:cs="宋体"/>
                <w:color w:val="auto"/>
                <w:sz w:val="24"/>
                <w:szCs w:val="24"/>
                <w:lang w:val="en-US"/>
              </w:rPr>
              <w:t>35</w:t>
            </w:r>
            <w:r>
              <w:rPr>
                <w:rFonts w:hint="eastAsia" w:ascii="宋体" w:hAnsi="宋体" w:cs="宋体"/>
                <w:color w:val="auto"/>
                <w:sz w:val="24"/>
                <w:szCs w:val="24"/>
              </w:rPr>
              <w:t>0cd/m2；支持20点同时触控及书写</w:t>
            </w:r>
            <w:r>
              <w:rPr>
                <w:rFonts w:hint="default" w:ascii="宋体" w:hAnsi="宋体" w:cs="宋体"/>
                <w:color w:val="auto"/>
                <w:sz w:val="24"/>
                <w:szCs w:val="24"/>
                <w:lang w:val="en-US"/>
              </w:rPr>
              <w:t>,</w:t>
            </w:r>
            <w:r>
              <w:rPr>
                <w:rFonts w:hint="eastAsia" w:ascii="宋体" w:hAnsi="宋体" w:cs="宋体"/>
                <w:color w:val="auto"/>
                <w:sz w:val="24"/>
                <w:szCs w:val="24"/>
              </w:rPr>
              <w:t>响应时间小于10ms，触控精度小于</w:t>
            </w:r>
            <w:r>
              <w:rPr>
                <w:rFonts w:hint="eastAsia" w:ascii="宋体" w:hAnsi="宋体" w:cs="宋体"/>
                <w:color w:val="auto"/>
                <w:sz w:val="24"/>
                <w:szCs w:val="24"/>
                <w:lang w:val="en-US" w:eastAsia="zh-CN"/>
              </w:rPr>
              <w:t>3</w:t>
            </w:r>
            <w:r>
              <w:rPr>
                <w:rFonts w:hint="eastAsia" w:ascii="宋体" w:hAnsi="宋体" w:cs="宋体"/>
                <w:color w:val="auto"/>
                <w:sz w:val="24"/>
                <w:szCs w:val="24"/>
              </w:rPr>
              <w:t>mm。</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rPr>
              <w:t>2、交互平板功率≤</w:t>
            </w:r>
            <w:r>
              <w:rPr>
                <w:rFonts w:hint="eastAsia" w:ascii="宋体" w:hAnsi="宋体" w:cs="宋体"/>
                <w:color w:val="auto"/>
                <w:sz w:val="24"/>
                <w:szCs w:val="24"/>
                <w:lang w:val="en-US" w:eastAsia="zh-CN"/>
              </w:rPr>
              <w:t>4</w:t>
            </w:r>
            <w:r>
              <w:rPr>
                <w:rFonts w:hint="eastAsia" w:ascii="宋体" w:hAnsi="宋体" w:cs="宋体"/>
                <w:color w:val="auto"/>
                <w:sz w:val="24"/>
                <w:szCs w:val="24"/>
              </w:rPr>
              <w:t>50W，且符合GB21520-20</w:t>
            </w:r>
            <w:r>
              <w:rPr>
                <w:rFonts w:hint="eastAsia" w:ascii="宋体" w:hAnsi="宋体" w:cs="宋体"/>
                <w:color w:val="auto"/>
                <w:sz w:val="24"/>
                <w:szCs w:val="24"/>
                <w:lang w:val="en-US" w:eastAsia="zh-CN"/>
              </w:rPr>
              <w:t>23</w:t>
            </w:r>
            <w:r>
              <w:rPr>
                <w:rFonts w:hint="eastAsia" w:ascii="宋体" w:hAnsi="宋体" w:cs="宋体"/>
                <w:color w:val="auto"/>
                <w:sz w:val="24"/>
                <w:szCs w:val="24"/>
              </w:rPr>
              <w:t>能</w:t>
            </w:r>
            <w:r>
              <w:rPr>
                <w:rFonts w:hint="eastAsia" w:ascii="宋体" w:hAnsi="宋体" w:cs="宋体"/>
                <w:color w:val="auto"/>
                <w:sz w:val="24"/>
                <w:szCs w:val="24"/>
                <w:lang w:eastAsia="zh-CN"/>
              </w:rPr>
              <w:t>效（</w:t>
            </w:r>
            <w:r>
              <w:rPr>
                <w:rFonts w:hint="eastAsia" w:ascii="宋体" w:hAnsi="宋体" w:cs="宋体"/>
                <w:color w:val="auto"/>
                <w:sz w:val="24"/>
                <w:szCs w:val="24"/>
              </w:rPr>
              <w:t>源</w:t>
            </w:r>
            <w:r>
              <w:rPr>
                <w:rFonts w:hint="eastAsia" w:ascii="宋体" w:hAnsi="宋体" w:cs="宋体"/>
                <w:color w:val="auto"/>
                <w:sz w:val="24"/>
                <w:szCs w:val="24"/>
                <w:lang w:eastAsia="zh-CN"/>
              </w:rPr>
              <w:t>）</w:t>
            </w:r>
            <w:r>
              <w:rPr>
                <w:rFonts w:hint="eastAsia" w:ascii="宋体" w:hAnsi="宋体" w:cs="宋体"/>
                <w:color w:val="auto"/>
                <w:sz w:val="24"/>
                <w:szCs w:val="24"/>
              </w:rPr>
              <w:t>1级</w:t>
            </w:r>
            <w:r>
              <w:rPr>
                <w:rFonts w:hint="eastAsia" w:ascii="宋体" w:hAnsi="宋体" w:cs="宋体"/>
                <w:color w:val="auto"/>
                <w:sz w:val="24"/>
                <w:szCs w:val="24"/>
                <w:lang w:eastAsia="zh-CN"/>
              </w:rPr>
              <w:t>或以上</w:t>
            </w:r>
            <w:r>
              <w:rPr>
                <w:rFonts w:hint="eastAsia" w:ascii="宋体" w:hAnsi="宋体" w:cs="宋体"/>
                <w:color w:val="auto"/>
                <w:sz w:val="24"/>
                <w:szCs w:val="24"/>
              </w:rPr>
              <w:t>要求。</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rPr>
              <w:t>3、一体化摄像头，支持≥1300W有效像素的视频采集，支持搭配AI软件实现</w:t>
            </w:r>
            <w:r>
              <w:rPr>
                <w:rFonts w:hint="eastAsia" w:ascii="宋体" w:hAnsi="宋体" w:cs="宋体"/>
                <w:color w:val="auto"/>
                <w:sz w:val="24"/>
                <w:szCs w:val="24"/>
                <w:lang w:eastAsia="zh-CN"/>
              </w:rPr>
              <w:t>选人等</w:t>
            </w:r>
            <w:r>
              <w:rPr>
                <w:rFonts w:hint="eastAsia" w:ascii="宋体" w:hAnsi="宋体" w:cs="宋体"/>
                <w:color w:val="auto"/>
                <w:sz w:val="24"/>
                <w:szCs w:val="24"/>
              </w:rPr>
              <w:t>功能。</w:t>
            </w:r>
          </w:p>
          <w:p>
            <w:pPr>
              <w:pStyle w:val="5"/>
              <w:keepNext w:val="0"/>
              <w:keepLines w:val="0"/>
              <w:pageBreakBefore w:val="0"/>
              <w:kinsoku/>
              <w:wordWrap/>
              <w:overflowPunct/>
              <w:topLinePunct w:val="0"/>
              <w:autoSpaceDE/>
              <w:autoSpaceDN/>
              <w:bidi w:val="0"/>
              <w:adjustRightInd/>
              <w:snapToGrid/>
              <w:spacing w:line="520" w:lineRule="exact"/>
              <w:rPr>
                <w:rFonts w:hint="eastAsia" w:ascii="宋体" w:hAnsi="宋体" w:cs="宋体" w:eastAsiaTheme="minorEastAsia"/>
                <w:color w:val="auto"/>
                <w:kern w:val="2"/>
                <w:sz w:val="24"/>
                <w:szCs w:val="24"/>
                <w:lang w:val="en-US" w:eastAsia="zh-CN" w:bidi="ar-SA"/>
              </w:rPr>
            </w:pPr>
            <w:r>
              <w:rPr>
                <w:rFonts w:hint="eastAsia" w:ascii="宋体" w:hAnsi="宋体" w:cs="宋体" w:eastAsiaTheme="minorEastAsia"/>
                <w:color w:val="auto"/>
                <w:kern w:val="2"/>
                <w:sz w:val="24"/>
                <w:szCs w:val="24"/>
                <w:lang w:val="en-US" w:eastAsia="zh-CN" w:bidi="ar-SA"/>
              </w:rPr>
              <w:t>4、交互平板表面玻璃采用高强度钢化玻璃，屏体硬度可达莫氏7级或9H硬度；厚度不大于3.2mm,可达到石英抗划等级。</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eastAsiaTheme="minorEastAsia"/>
                <w:color w:val="auto"/>
                <w:kern w:val="2"/>
                <w:sz w:val="24"/>
                <w:szCs w:val="24"/>
                <w:lang w:val="en-US" w:eastAsia="zh-CN" w:bidi="ar-SA"/>
              </w:rPr>
              <w:t>5、屏幕贴合方式：零</w:t>
            </w:r>
            <w:r>
              <w:rPr>
                <w:rFonts w:hint="eastAsia" w:ascii="宋体" w:hAnsi="宋体" w:cs="宋体"/>
                <w:color w:val="auto"/>
                <w:sz w:val="24"/>
                <w:szCs w:val="24"/>
              </w:rPr>
              <w:t>贴合</w:t>
            </w:r>
            <w:r>
              <w:rPr>
                <w:rFonts w:hint="eastAsia" w:ascii="宋体" w:hAnsi="宋体" w:cs="宋体"/>
                <w:color w:val="auto"/>
                <w:sz w:val="24"/>
                <w:szCs w:val="24"/>
                <w:lang w:eastAsia="zh-CN"/>
              </w:rPr>
              <w:t>或全贴合</w:t>
            </w:r>
            <w:r>
              <w:rPr>
                <w:rFonts w:hint="eastAsia" w:ascii="宋体" w:hAnsi="宋体" w:cs="宋体"/>
                <w:color w:val="auto"/>
                <w:sz w:val="24"/>
                <w:szCs w:val="24"/>
              </w:rPr>
              <w:t>，钢化玻璃和液晶显示层间紧密贴合，显示效果清晰。</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eastAsiaTheme="minorEastAsia"/>
                <w:color w:val="auto"/>
                <w:sz w:val="24"/>
                <w:szCs w:val="24"/>
                <w:lang w:eastAsia="zh-CN"/>
              </w:rPr>
            </w:pPr>
            <w:r>
              <w:rPr>
                <w:rFonts w:hint="eastAsia" w:ascii="宋体" w:hAnsi="宋体" w:cs="宋体"/>
                <w:color w:val="auto"/>
                <w:sz w:val="24"/>
                <w:szCs w:val="24"/>
              </w:rPr>
              <w:t>6、色彩覆盖率≥</w:t>
            </w:r>
            <w:r>
              <w:rPr>
                <w:rFonts w:hint="eastAsia" w:ascii="宋体" w:hAnsi="宋体" w:cs="宋体"/>
                <w:color w:val="auto"/>
                <w:sz w:val="24"/>
                <w:szCs w:val="24"/>
                <w:lang w:val="en-US" w:eastAsia="zh-CN"/>
              </w:rPr>
              <w:t>85</w:t>
            </w:r>
            <w:r>
              <w:rPr>
                <w:rFonts w:hint="eastAsia" w:ascii="宋体" w:hAnsi="宋体" w:cs="宋体"/>
                <w:color w:val="auto"/>
                <w:sz w:val="24"/>
                <w:szCs w:val="24"/>
              </w:rPr>
              <w:t>%NTSC，屏幕显示灰度最高至少可达到256灰阶</w:t>
            </w:r>
            <w:r>
              <w:rPr>
                <w:rFonts w:hint="eastAsia" w:ascii="宋体" w:hAnsi="宋体" w:cs="宋体"/>
                <w:color w:val="auto"/>
                <w:sz w:val="24"/>
                <w:szCs w:val="24"/>
                <w:lang w:eastAsia="zh-CN"/>
              </w:rPr>
              <w:t>。</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rPr>
              <w:t>7、为方便外接信号源的输入，设备需</w:t>
            </w:r>
            <w:r>
              <w:rPr>
                <w:rFonts w:hint="eastAsia" w:ascii="宋体" w:hAnsi="宋体" w:cs="宋体"/>
                <w:color w:val="auto"/>
                <w:sz w:val="24"/>
                <w:szCs w:val="24"/>
                <w:lang w:val="en-US" w:eastAsia="zh-CN"/>
              </w:rPr>
              <w:t>2</w:t>
            </w:r>
            <w:r>
              <w:rPr>
                <w:rFonts w:hint="eastAsia" w:ascii="宋体" w:hAnsi="宋体" w:cs="宋体"/>
                <w:color w:val="auto"/>
                <w:sz w:val="24"/>
                <w:szCs w:val="24"/>
              </w:rPr>
              <w:t>路前置USB3.0接口，且接口具有标识或提示。</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rPr>
              <w:t>8、为方便用户外接拓展设备，交互平板前置Type-C接口具备数据传输、充电等功能。</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、智能节电，</w:t>
            </w:r>
            <w:r>
              <w:rPr>
                <w:rFonts w:hint="eastAsia" w:ascii="宋体" w:hAnsi="宋体" w:cs="宋体"/>
                <w:color w:val="auto"/>
                <w:sz w:val="24"/>
                <w:szCs w:val="24"/>
                <w:lang w:eastAsia="zh-CN"/>
              </w:rPr>
              <w:t>支持自定义间隔时长，</w:t>
            </w:r>
            <w:r>
              <w:rPr>
                <w:rFonts w:hint="eastAsia" w:ascii="宋体" w:hAnsi="宋体" w:cs="宋体"/>
                <w:color w:val="auto"/>
                <w:sz w:val="24"/>
                <w:szCs w:val="24"/>
              </w:rPr>
              <w:t>在无操作或无信号输入时, 自动关机</w:t>
            </w:r>
            <w:r>
              <w:rPr>
                <w:rFonts w:hint="eastAsia" w:ascii="宋体" w:hAnsi="宋体" w:cs="宋体"/>
                <w:color w:val="auto"/>
                <w:sz w:val="24"/>
                <w:szCs w:val="24"/>
                <w:lang w:eastAsia="zh-CN"/>
              </w:rPr>
              <w:t>或熄屏；或</w:t>
            </w:r>
            <w:r>
              <w:rPr>
                <w:rFonts w:hint="eastAsia" w:ascii="宋体" w:hAnsi="宋体" w:cs="宋体"/>
                <w:color w:val="auto"/>
                <w:sz w:val="24"/>
                <w:szCs w:val="24"/>
              </w:rPr>
              <w:t>在无操作或无信号时可进入熄屏模式，需要操作时支持一键唤醒。</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lang w:eastAsia="zh-CN"/>
              </w:rPr>
            </w:pPr>
            <w:r>
              <w:rPr>
                <w:rFonts w:hint="eastAsia" w:ascii="宋体" w:hAnsi="宋体" w:cs="宋体"/>
                <w:color w:val="auto"/>
                <w:sz w:val="24"/>
                <w:szCs w:val="24"/>
              </w:rPr>
              <w:t>1</w:t>
            </w:r>
            <w:r>
              <w:rPr>
                <w:rFonts w:hint="eastAsia" w:ascii="宋体" w:hAnsi="宋体" w:cs="宋体"/>
                <w:color w:val="auto"/>
                <w:sz w:val="24"/>
                <w:szCs w:val="24"/>
                <w:lang w:val="en-US" w:eastAsia="zh-CN"/>
              </w:rPr>
              <w:t>0</w:t>
            </w:r>
            <w:r>
              <w:rPr>
                <w:rFonts w:hint="eastAsia" w:ascii="宋体" w:hAnsi="宋体" w:cs="宋体"/>
                <w:color w:val="auto"/>
                <w:sz w:val="24"/>
                <w:szCs w:val="24"/>
              </w:rPr>
              <w:t>、为方便用户进行各类设置和操作，设备前置按键可实现</w:t>
            </w:r>
            <w:r>
              <w:rPr>
                <w:rFonts w:hint="eastAsia" w:ascii="宋体" w:hAnsi="宋体" w:cs="宋体"/>
                <w:color w:val="auto"/>
                <w:sz w:val="24"/>
                <w:szCs w:val="24"/>
                <w:lang w:eastAsia="zh-CN"/>
              </w:rPr>
              <w:t>开关机、多任务、</w:t>
            </w:r>
            <w:r>
              <w:rPr>
                <w:rFonts w:hint="eastAsia" w:ascii="宋体" w:hAnsi="宋体" w:cs="宋体"/>
                <w:color w:val="auto"/>
                <w:sz w:val="24"/>
                <w:szCs w:val="24"/>
              </w:rPr>
              <w:t>音量加减、</w:t>
            </w:r>
            <w:r>
              <w:rPr>
                <w:rFonts w:hint="eastAsia" w:ascii="宋体" w:hAnsi="宋体" w:cs="宋体"/>
                <w:color w:val="auto"/>
                <w:sz w:val="24"/>
                <w:szCs w:val="24"/>
                <w:lang w:eastAsia="zh-CN"/>
              </w:rPr>
              <w:t>录屏</w:t>
            </w:r>
            <w:r>
              <w:rPr>
                <w:rFonts w:hint="eastAsia" w:ascii="宋体" w:hAnsi="宋体" w:cs="宋体"/>
                <w:color w:val="auto"/>
                <w:sz w:val="24"/>
                <w:szCs w:val="24"/>
              </w:rPr>
              <w:t>按键等功能。</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1</w:t>
            </w:r>
            <w:r>
              <w:rPr>
                <w:rFonts w:hint="eastAsia" w:ascii="宋体" w:hAnsi="宋体" w:cs="宋体"/>
                <w:color w:val="auto"/>
                <w:sz w:val="24"/>
                <w:szCs w:val="24"/>
              </w:rPr>
              <w:t>、交互平板具有天线模块，包含2.4G、5G双频Wifi及蓝牙接发装置，双系统均可无线上网；无需外接无线网卡，系统下接入无线网络，也可实现无线上网功能；只要一根网线连接，即可实现双系统同时上网。</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2</w:t>
            </w:r>
            <w:r>
              <w:rPr>
                <w:rFonts w:hint="eastAsia" w:ascii="宋体" w:hAnsi="宋体" w:cs="宋体"/>
                <w:color w:val="auto"/>
                <w:sz w:val="24"/>
                <w:szCs w:val="24"/>
              </w:rPr>
              <w:t>、前置按</w:t>
            </w:r>
            <w:r>
              <w:rPr>
                <w:rFonts w:hint="eastAsia" w:ascii="宋体" w:hAnsi="宋体" w:cs="宋体"/>
                <w:color w:val="auto"/>
                <w:sz w:val="24"/>
                <w:szCs w:val="24"/>
                <w:lang w:val="en-US" w:eastAsia="zh-CN"/>
              </w:rPr>
              <w:t>键面板具有中文标识，具有通屏笔槽结构，可放置书写笔、粉笔、水性笔等，笔槽具有漏灰孔设计。</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3</w:t>
            </w:r>
            <w:r>
              <w:rPr>
                <w:rFonts w:hint="eastAsia" w:ascii="宋体" w:hAnsi="宋体" w:cs="宋体"/>
                <w:color w:val="auto"/>
                <w:sz w:val="24"/>
                <w:szCs w:val="24"/>
              </w:rPr>
              <w:t>、音箱≥40W</w:t>
            </w:r>
            <w:r>
              <w:rPr>
                <w:rFonts w:hint="eastAsia" w:ascii="宋体" w:hAnsi="宋体" w:cs="宋体"/>
                <w:color w:val="auto"/>
                <w:sz w:val="24"/>
                <w:szCs w:val="24"/>
                <w:lang w:eastAsia="zh-CN"/>
              </w:rPr>
              <w:t>；</w:t>
            </w:r>
            <w:r>
              <w:rPr>
                <w:rFonts w:hint="eastAsia" w:ascii="宋体" w:hAnsi="宋体" w:cs="宋体"/>
                <w:color w:val="auto"/>
                <w:sz w:val="24"/>
                <w:szCs w:val="24"/>
              </w:rPr>
              <w:t>具有2个前置≥</w:t>
            </w:r>
            <w:r>
              <w:rPr>
                <w:rFonts w:hint="default" w:ascii="宋体" w:hAnsi="宋体" w:cs="宋体"/>
                <w:color w:val="auto"/>
                <w:sz w:val="24"/>
                <w:szCs w:val="24"/>
                <w:lang w:val="en-US"/>
              </w:rPr>
              <w:t>1</w:t>
            </w:r>
            <w:r>
              <w:rPr>
                <w:rFonts w:hint="eastAsia" w:ascii="宋体" w:hAnsi="宋体" w:cs="宋体"/>
                <w:color w:val="auto"/>
                <w:sz w:val="24"/>
                <w:szCs w:val="24"/>
                <w:lang w:val="en-US" w:eastAsia="zh-CN"/>
              </w:rPr>
              <w:t>0</w:t>
            </w:r>
            <w:r>
              <w:rPr>
                <w:rFonts w:hint="eastAsia" w:ascii="宋体" w:hAnsi="宋体" w:cs="宋体"/>
                <w:color w:val="auto"/>
                <w:sz w:val="24"/>
                <w:szCs w:val="24"/>
              </w:rPr>
              <w:t>W中高音音箱，且为保证高人声还原度。</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4</w:t>
            </w:r>
            <w:r>
              <w:rPr>
                <w:rFonts w:hint="eastAsia" w:ascii="宋体" w:hAnsi="宋体" w:cs="宋体"/>
                <w:color w:val="auto"/>
                <w:sz w:val="24"/>
                <w:szCs w:val="24"/>
              </w:rPr>
              <w:t>、屏体具有物理防蓝光功能，无需其他操作即可达到蓝光防护效果。</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5</w:t>
            </w:r>
            <w:r>
              <w:rPr>
                <w:rFonts w:hint="eastAsia" w:ascii="宋体" w:hAnsi="宋体" w:cs="宋体"/>
                <w:color w:val="auto"/>
                <w:sz w:val="24"/>
                <w:szCs w:val="24"/>
              </w:rPr>
              <w:t>、为满足教学场景使用需求，支持屏幕下移，屏幕下移后仍可进行触控、书写等操作。</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6</w:t>
            </w:r>
            <w:r>
              <w:rPr>
                <w:rFonts w:hint="eastAsia" w:ascii="宋体" w:hAnsi="宋体" w:cs="宋体"/>
                <w:color w:val="auto"/>
                <w:sz w:val="24"/>
                <w:szCs w:val="24"/>
              </w:rPr>
              <w:t>、交互平板</w:t>
            </w:r>
            <w:r>
              <w:rPr>
                <w:rFonts w:hint="eastAsia" w:ascii="宋体" w:hAnsi="宋体" w:cs="宋体"/>
                <w:color w:val="auto"/>
                <w:sz w:val="24"/>
                <w:szCs w:val="24"/>
                <w:lang w:eastAsia="zh-CN"/>
              </w:rPr>
              <w:t>内置系统存储空间不小于</w:t>
            </w:r>
            <w:r>
              <w:rPr>
                <w:rFonts w:hint="eastAsia" w:ascii="宋体" w:hAnsi="宋体" w:cs="宋体"/>
                <w:color w:val="auto"/>
                <w:sz w:val="24"/>
                <w:szCs w:val="24"/>
                <w:lang w:val="en-US" w:eastAsia="zh-CN"/>
              </w:rPr>
              <w:t>8G</w:t>
            </w:r>
            <w:r>
              <w:rPr>
                <w:rFonts w:hint="eastAsia" w:ascii="宋体" w:hAnsi="宋体" w:cs="宋体"/>
                <w:color w:val="auto"/>
                <w:sz w:val="24"/>
                <w:szCs w:val="24"/>
              </w:rPr>
              <w:t>， 内存不小于2G。</w:t>
            </w:r>
          </w:p>
          <w:p>
            <w:pPr>
              <w:pStyle w:val="25"/>
              <w:keepNext w:val="0"/>
              <w:keepLines w:val="0"/>
              <w:pageBreakBefore w:val="0"/>
              <w:numPr>
                <w:ilvl w:val="0"/>
                <w:numId w:val="0"/>
              </w:numPr>
              <w:kinsoku/>
              <w:wordWrap/>
              <w:overflowPunct/>
              <w:topLinePunct w:val="0"/>
              <w:autoSpaceDE/>
              <w:autoSpaceDN/>
              <w:bidi w:val="0"/>
              <w:adjustRightInd/>
              <w:snapToGrid/>
              <w:spacing w:line="520" w:lineRule="exact"/>
              <w:ind w:leftChars="0"/>
              <w:jc w:val="left"/>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szCs w:val="24"/>
              </w:rPr>
              <w:t>1</w:t>
            </w:r>
            <w:r>
              <w:rPr>
                <w:rFonts w:hint="eastAsia" w:ascii="宋体" w:hAnsi="宋体" w:cs="宋体"/>
                <w:color w:val="auto"/>
                <w:sz w:val="24"/>
                <w:szCs w:val="24"/>
                <w:lang w:val="en-US" w:eastAsia="zh-CN"/>
              </w:rPr>
              <w:t>7</w:t>
            </w:r>
            <w:r>
              <w:rPr>
                <w:rFonts w:hint="eastAsia" w:ascii="宋体" w:hAnsi="宋体" w:cs="宋体"/>
                <w:color w:val="auto"/>
                <w:sz w:val="24"/>
                <w:szCs w:val="24"/>
              </w:rPr>
              <w:t>、</w:t>
            </w:r>
            <w:r>
              <w:rPr>
                <w:rFonts w:hint="eastAsia" w:ascii="宋体" w:hAnsi="宋体" w:cs="宋体" w:eastAsiaTheme="minorEastAsia"/>
                <w:color w:val="auto"/>
                <w:kern w:val="2"/>
                <w:sz w:val="24"/>
                <w:szCs w:val="24"/>
                <w:lang w:val="en-US" w:eastAsia="zh-CN" w:bidi="ar-SA"/>
              </w:rPr>
              <w:t>具备智能手势识别功能，在整机全信号源通道下均可识别五指上、下、左、右方向手势，并调用相应功能；或通过多指滑动屏幕，可快速实现切换，对正在运行的应用进行浏览、快速切换或结束进程。</w:t>
            </w:r>
          </w:p>
          <w:p>
            <w:pPr>
              <w:pStyle w:val="25"/>
              <w:keepNext w:val="0"/>
              <w:keepLines w:val="0"/>
              <w:pageBreakBefore w:val="0"/>
              <w:numPr>
                <w:ilvl w:val="0"/>
                <w:numId w:val="0"/>
              </w:numPr>
              <w:kinsoku/>
              <w:wordWrap/>
              <w:overflowPunct/>
              <w:topLinePunct w:val="0"/>
              <w:autoSpaceDE/>
              <w:autoSpaceDN/>
              <w:bidi w:val="0"/>
              <w:adjustRightInd/>
              <w:snapToGrid/>
              <w:spacing w:line="520" w:lineRule="exact"/>
              <w:ind w:leftChars="0"/>
              <w:jc w:val="left"/>
              <w:rPr>
                <w:rFonts w:hint="eastAsia" w:ascii="宋体" w:hAnsi="宋体" w:cs="宋体"/>
                <w:color w:val="auto"/>
                <w:sz w:val="24"/>
                <w:szCs w:val="24"/>
              </w:rPr>
            </w:pPr>
            <w:r>
              <w:rPr>
                <w:rFonts w:hint="eastAsia" w:ascii="宋体" w:hAnsi="宋体" w:cs="宋体" w:eastAsiaTheme="minorEastAsia"/>
                <w:color w:val="auto"/>
                <w:kern w:val="2"/>
                <w:sz w:val="24"/>
                <w:szCs w:val="24"/>
                <w:lang w:val="en-US" w:eastAsia="zh-CN" w:bidi="ar-SA"/>
              </w:rPr>
              <w:t>18、交互平板可一键进行硬件自检及故障提示，且具备屏体温度实时监控、高温预警及断电保护等功能。</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lang w:val="en-US" w:eastAsia="zh-CN"/>
              </w:rPr>
              <w:t>19</w:t>
            </w:r>
            <w:r>
              <w:rPr>
                <w:rFonts w:hint="eastAsia" w:ascii="宋体" w:hAnsi="宋体" w:cs="宋体"/>
                <w:color w:val="auto"/>
                <w:sz w:val="24"/>
                <w:szCs w:val="24"/>
              </w:rPr>
              <w:t>、交互平板具备电脑还原，不需专业人员即可轻松解决电脑系统故障，</w:t>
            </w:r>
            <w:r>
              <w:rPr>
                <w:rFonts w:hint="eastAsia" w:ascii="宋体" w:hAnsi="宋体" w:cs="宋体"/>
                <w:color w:val="auto"/>
                <w:sz w:val="24"/>
                <w:szCs w:val="24"/>
                <w:lang w:eastAsia="zh-CN"/>
              </w:rPr>
              <w:t>有</w:t>
            </w:r>
            <w:r>
              <w:rPr>
                <w:rFonts w:hint="eastAsia" w:ascii="宋体" w:hAnsi="宋体" w:cs="宋体"/>
                <w:color w:val="auto"/>
                <w:sz w:val="24"/>
                <w:szCs w:val="24"/>
              </w:rPr>
              <w:t>避免误碰按键设计。</w:t>
            </w:r>
          </w:p>
          <w:p>
            <w:pPr>
              <w:pStyle w:val="5"/>
              <w:keepNext w:val="0"/>
              <w:keepLines w:val="0"/>
              <w:pageBreakBefore w:val="0"/>
              <w:kinsoku/>
              <w:wordWrap/>
              <w:overflowPunct/>
              <w:topLinePunct w:val="0"/>
              <w:autoSpaceDE/>
              <w:autoSpaceDN/>
              <w:bidi w:val="0"/>
              <w:adjustRightInd/>
              <w:snapToGrid/>
              <w:spacing w:line="520" w:lineRule="exact"/>
              <w:jc w:val="left"/>
              <w:rPr>
                <w:rFonts w:hint="default" w:ascii="宋体" w:hAnsi="宋体" w:cs="宋体" w:eastAsiaTheme="minorEastAsia"/>
                <w:color w:val="auto"/>
                <w:kern w:val="2"/>
                <w:sz w:val="24"/>
                <w:szCs w:val="24"/>
                <w:lang w:val="en-US" w:eastAsia="zh-CN" w:bidi="ar-SA"/>
              </w:rPr>
            </w:pPr>
            <w:r>
              <w:rPr>
                <w:rFonts w:hint="eastAsia" w:ascii="宋体" w:hAnsi="宋体" w:cs="宋体"/>
                <w:color w:val="auto"/>
                <w:sz w:val="24"/>
                <w:szCs w:val="24"/>
              </w:rPr>
              <w:t>2</w:t>
            </w:r>
            <w:r>
              <w:rPr>
                <w:rFonts w:hint="eastAsia" w:ascii="宋体" w:hAnsi="宋体" w:cs="宋体"/>
                <w:color w:val="auto"/>
                <w:sz w:val="24"/>
                <w:szCs w:val="24"/>
                <w:lang w:val="en-US" w:eastAsia="zh-CN"/>
              </w:rPr>
              <w:t>0</w:t>
            </w:r>
            <w:r>
              <w:rPr>
                <w:rFonts w:hint="eastAsia" w:ascii="宋体" w:hAnsi="宋体" w:cs="宋体" w:eastAsiaTheme="minorEastAsia"/>
                <w:color w:val="auto"/>
                <w:kern w:val="2"/>
                <w:sz w:val="24"/>
                <w:szCs w:val="24"/>
                <w:lang w:val="en-US" w:eastAsia="zh-CN" w:bidi="ar-SA"/>
              </w:rPr>
              <w:t>、内置蓝牙模块，且模块支持独立可拆卸，支持连接外部蓝牙音箱播放音频，不小于12M无遮挡能正常连接音箱，播放音乐。</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rPr>
              <w:t>2</w:t>
            </w:r>
            <w:r>
              <w:rPr>
                <w:rFonts w:hint="eastAsia" w:ascii="宋体" w:hAnsi="宋体" w:cs="宋体"/>
                <w:color w:val="auto"/>
                <w:sz w:val="24"/>
                <w:szCs w:val="24"/>
                <w:lang w:val="en-US" w:eastAsia="zh-CN"/>
              </w:rPr>
              <w:t>1</w:t>
            </w:r>
            <w:r>
              <w:rPr>
                <w:rFonts w:hint="eastAsia" w:ascii="宋体" w:hAnsi="宋体" w:cs="宋体"/>
                <w:color w:val="auto"/>
                <w:sz w:val="24"/>
                <w:szCs w:val="24"/>
              </w:rPr>
              <w:t>、交互平板</w:t>
            </w:r>
            <w:r>
              <w:rPr>
                <w:rFonts w:hint="eastAsia" w:ascii="宋体" w:hAnsi="宋体" w:cs="宋体"/>
                <w:color w:val="auto"/>
                <w:sz w:val="24"/>
                <w:szCs w:val="24"/>
                <w:lang w:val="en-US" w:eastAsia="zh-CN"/>
              </w:rPr>
              <w:t>内置传屏接收模块，整机不需要连接任何附加设备，可实现外部电脑、手机等设备的音视频信号实时传输到整机上；或：在操作系统下无需外部接收组件，无线传屏发射器与交互设备匹配后可实现无线传屏功能，可将外部电脑设备的视频、音频、触控、信号无线传至交互设备上。</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lang w:val="en-US" w:eastAsia="zh-CN"/>
              </w:rPr>
              <w:t>22、在任意信号源下，从屏幕下方任意位置向上</w:t>
            </w:r>
            <w:r>
              <w:rPr>
                <w:rFonts w:hint="eastAsia" w:ascii="宋体" w:hAnsi="宋体" w:cs="宋体"/>
                <w:color w:val="auto"/>
                <w:sz w:val="24"/>
                <w:szCs w:val="24"/>
                <w:lang w:eastAsia="zh-CN"/>
              </w:rPr>
              <w:t>或两侧</w:t>
            </w:r>
            <w:r>
              <w:rPr>
                <w:rFonts w:hint="eastAsia" w:ascii="宋体" w:hAnsi="宋体" w:cs="宋体"/>
                <w:color w:val="auto"/>
                <w:sz w:val="24"/>
                <w:szCs w:val="24"/>
              </w:rPr>
              <w:t>滑动，可调用快捷设置菜单；无需切换系统，可快速调节设置。</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3</w:t>
            </w:r>
            <w:r>
              <w:rPr>
                <w:rFonts w:hint="eastAsia" w:ascii="宋体" w:hAnsi="宋体" w:cs="宋体"/>
                <w:color w:val="auto"/>
                <w:sz w:val="24"/>
                <w:szCs w:val="24"/>
              </w:rPr>
              <w:t>、支持在系统下对网络、系统、音量调节等进行设置后，在系统下实现对应设置，无需重复设置。</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4</w:t>
            </w:r>
            <w:r>
              <w:rPr>
                <w:rFonts w:hint="eastAsia" w:ascii="宋体" w:hAnsi="宋体" w:cs="宋体"/>
                <w:color w:val="auto"/>
                <w:sz w:val="24"/>
                <w:szCs w:val="24"/>
              </w:rPr>
              <w:t>、国产OPS配置要求：采用插拔式</w:t>
            </w:r>
            <w:r>
              <w:rPr>
                <w:rFonts w:hint="eastAsia" w:ascii="宋体" w:hAnsi="宋体" w:cs="宋体"/>
                <w:color w:val="auto"/>
                <w:sz w:val="24"/>
                <w:szCs w:val="24"/>
                <w:lang w:eastAsia="zh-CN"/>
              </w:rPr>
              <w:t>或卡扣式</w:t>
            </w:r>
            <w:r>
              <w:rPr>
                <w:rFonts w:hint="eastAsia" w:ascii="宋体" w:hAnsi="宋体" w:cs="宋体"/>
                <w:color w:val="auto"/>
                <w:sz w:val="24"/>
                <w:szCs w:val="24"/>
              </w:rPr>
              <w:t>模块电脑架构，接口严格遵循相关规范,针脚数为≤80Pin，与大屏无单独接线；采用国产高性能安全处理器、主频2.5GHz或以上；</w:t>
            </w:r>
            <w:r>
              <w:rPr>
                <w:rFonts w:hint="eastAsia" w:ascii="宋体" w:hAnsi="宋体" w:cs="宋体"/>
                <w:color w:val="auto"/>
                <w:sz w:val="24"/>
                <w:szCs w:val="24"/>
                <w:lang w:eastAsia="zh-CN"/>
              </w:rPr>
              <w:t>支持多线程处理；</w:t>
            </w:r>
            <w:r>
              <w:rPr>
                <w:rFonts w:hint="eastAsia" w:ascii="宋体" w:hAnsi="宋体" w:cs="宋体"/>
                <w:color w:val="auto"/>
                <w:sz w:val="24"/>
                <w:szCs w:val="24"/>
              </w:rPr>
              <w:t>8G DDR4笔记本内存或以上配置；存储空间256G SSD或以上配置；提供软件</w:t>
            </w:r>
            <w:r>
              <w:rPr>
                <w:rFonts w:hint="eastAsia" w:ascii="宋体" w:hAnsi="宋体" w:cs="宋体"/>
                <w:color w:val="auto"/>
                <w:sz w:val="24"/>
                <w:szCs w:val="24"/>
                <w:lang w:eastAsia="zh-CN"/>
              </w:rPr>
              <w:t>或</w:t>
            </w:r>
            <w:r>
              <w:rPr>
                <w:rFonts w:hint="eastAsia" w:ascii="宋体" w:hAnsi="宋体" w:cs="宋体"/>
                <w:color w:val="auto"/>
                <w:sz w:val="24"/>
                <w:szCs w:val="24"/>
              </w:rPr>
              <w:t>硬件一键系统还原方案。标配正版</w:t>
            </w:r>
            <w:r>
              <w:rPr>
                <w:rFonts w:hint="eastAsia" w:ascii="宋体" w:hAnsi="宋体" w:cs="宋体"/>
                <w:color w:val="auto"/>
                <w:sz w:val="24"/>
                <w:szCs w:val="24"/>
                <w:lang w:eastAsia="zh-CN"/>
              </w:rPr>
              <w:t>国产（安可替代）</w:t>
            </w:r>
            <w:r>
              <w:rPr>
                <w:rFonts w:hint="eastAsia" w:ascii="宋体" w:hAnsi="宋体" w:cs="宋体"/>
                <w:color w:val="auto"/>
                <w:sz w:val="24"/>
                <w:szCs w:val="24"/>
              </w:rPr>
              <w:t>操作系统</w:t>
            </w:r>
            <w:r>
              <w:rPr>
                <w:rFonts w:hint="eastAsia" w:ascii="宋体" w:hAnsi="宋体" w:cs="宋体"/>
                <w:color w:val="auto"/>
                <w:sz w:val="24"/>
                <w:szCs w:val="24"/>
                <w:lang w:eastAsia="zh-CN"/>
              </w:rPr>
              <w:t>及办公软件（</w:t>
            </w:r>
            <w:r>
              <w:rPr>
                <w:rFonts w:hint="eastAsia" w:ascii="宋体" w:hAnsi="宋体" w:cs="宋体"/>
                <w:color w:val="auto"/>
                <w:sz w:val="24"/>
                <w:szCs w:val="24"/>
                <w:lang w:val="en-US" w:eastAsia="zh-CN"/>
              </w:rPr>
              <w:t>系统预装流式软件、板式软件以及杀毒软件，所投产品的预装软件至少授权3年的使用期限。</w:t>
            </w:r>
            <w:r>
              <w:rPr>
                <w:rFonts w:hint="eastAsia" w:ascii="宋体" w:hAnsi="宋体" w:cs="宋体"/>
                <w:color w:val="auto"/>
                <w:sz w:val="24"/>
                <w:szCs w:val="24"/>
              </w:rPr>
              <w:t>需提供</w:t>
            </w:r>
            <w:r>
              <w:rPr>
                <w:rFonts w:hint="eastAsia" w:ascii="宋体" w:hAnsi="宋体" w:cs="宋体"/>
                <w:color w:val="auto"/>
                <w:sz w:val="24"/>
                <w:szCs w:val="24"/>
                <w:lang w:eastAsia="zh-CN"/>
              </w:rPr>
              <w:t>承诺函</w:t>
            </w:r>
            <w:r>
              <w:rPr>
                <w:rFonts w:hint="eastAsia" w:ascii="宋体" w:hAnsi="宋体" w:cs="宋体"/>
                <w:color w:val="auto"/>
                <w:sz w:val="24"/>
                <w:szCs w:val="24"/>
              </w:rPr>
              <w:t>,并加盖供应商公章。)</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rPr>
              <w:t>二、教学应用软件:</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lang w:val="en-US" w:eastAsia="zh-CN"/>
              </w:rPr>
              <w:t>25</w:t>
            </w:r>
            <w:r>
              <w:rPr>
                <w:rFonts w:hint="eastAsia" w:ascii="宋体" w:hAnsi="宋体" w:cs="宋体"/>
                <w:color w:val="auto"/>
                <w:sz w:val="24"/>
                <w:szCs w:val="24"/>
              </w:rPr>
              <w:t>、软件菜单功能按钮和图标的各级菜单均配备明确中文标识。</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6</w:t>
            </w:r>
            <w:r>
              <w:rPr>
                <w:rFonts w:hint="eastAsia" w:ascii="宋体" w:hAnsi="宋体" w:cs="宋体"/>
                <w:color w:val="auto"/>
                <w:sz w:val="24"/>
                <w:szCs w:val="24"/>
              </w:rPr>
              <w:t>、具有教学云平台，支持云端备课，教师可直接登陆云平台进行备课及课件下载使用，能够为教师提供云存储空间，教师可在个人云空间中上传存储互动课件</w:t>
            </w:r>
            <w:r>
              <w:rPr>
                <w:rFonts w:hint="eastAsia" w:ascii="宋体" w:hAnsi="宋体" w:cs="宋体"/>
                <w:color w:val="auto"/>
                <w:sz w:val="24"/>
                <w:szCs w:val="24"/>
                <w:lang w:eastAsia="zh-CN"/>
              </w:rPr>
              <w:t>，</w:t>
            </w:r>
            <w:r>
              <w:rPr>
                <w:rFonts w:hint="eastAsia" w:ascii="宋体" w:hAnsi="宋体" w:cs="宋体"/>
                <w:color w:val="auto"/>
                <w:sz w:val="24"/>
                <w:szCs w:val="24"/>
              </w:rPr>
              <w:t>无需用户通过完成特定任务才能获取，方便教师使用。</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27、支持用户在软件中打开pptx格式文件，且用户可在软件中自由编辑原文件中的图片、文字、表格等元素，并支持修改原文件中的动画。方便老师利用软件互动功能在原有PPT基础上修改课件。</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lang w:val="en-US" w:eastAsia="zh-CN"/>
              </w:rPr>
              <w:t>28</w:t>
            </w:r>
            <w:r>
              <w:rPr>
                <w:rFonts w:hint="eastAsia" w:ascii="宋体" w:hAnsi="宋体" w:cs="宋体"/>
                <w:color w:val="auto"/>
                <w:sz w:val="24"/>
                <w:szCs w:val="24"/>
              </w:rPr>
              <w:t>、物理工具：提供物理电路图，配备元件库与模型库，模型库涵盖初高中教材常见的21种电路实验案例</w:t>
            </w:r>
            <w:r>
              <w:rPr>
                <w:rFonts w:hint="eastAsia" w:ascii="宋体" w:hAnsi="宋体" w:cs="宋体"/>
                <w:color w:val="auto"/>
                <w:sz w:val="24"/>
                <w:szCs w:val="24"/>
                <w:lang w:eastAsia="zh-CN"/>
              </w:rPr>
              <w:t>；或：</w:t>
            </w:r>
            <w:r>
              <w:rPr>
                <w:rFonts w:hint="eastAsia" w:ascii="宋体" w:hAnsi="宋体" w:cs="宋体"/>
                <w:color w:val="auto"/>
                <w:sz w:val="24"/>
                <w:szCs w:val="24"/>
              </w:rPr>
              <w:t>提供力学、电学、电磁学、光学、电学图例等多种动态可调节素材</w:t>
            </w:r>
            <w:r>
              <w:rPr>
                <w:rFonts w:hint="eastAsia" w:ascii="宋体" w:hAnsi="宋体" w:cs="宋体"/>
                <w:color w:val="auto"/>
                <w:sz w:val="24"/>
                <w:szCs w:val="24"/>
                <w:lang w:eastAsia="zh-CN"/>
              </w:rPr>
              <w:t>；</w:t>
            </w:r>
            <w:r>
              <w:rPr>
                <w:rFonts w:hint="eastAsia" w:ascii="宋体" w:hAnsi="宋体" w:cs="宋体"/>
                <w:color w:val="auto"/>
                <w:sz w:val="24"/>
                <w:szCs w:val="24"/>
              </w:rPr>
              <w:t>供老师快速调用。</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29</w:t>
            </w:r>
            <w:r>
              <w:rPr>
                <w:rFonts w:hint="eastAsia" w:ascii="宋体" w:hAnsi="宋体" w:cs="宋体"/>
                <w:color w:val="auto"/>
                <w:sz w:val="24"/>
                <w:szCs w:val="24"/>
              </w:rPr>
              <w:t>、工具箱：</w:t>
            </w:r>
            <w:r>
              <w:rPr>
                <w:rFonts w:hint="eastAsia" w:ascii="宋体" w:hAnsi="宋体" w:cs="宋体"/>
                <w:color w:val="auto"/>
                <w:sz w:val="24"/>
                <w:szCs w:val="24"/>
                <w:lang w:eastAsia="zh-CN"/>
              </w:rPr>
              <w:t>提供书写工具，</w:t>
            </w:r>
            <w:r>
              <w:rPr>
                <w:rFonts w:hint="eastAsia" w:ascii="宋体" w:hAnsi="宋体" w:cs="宋体"/>
                <w:color w:val="auto"/>
                <w:sz w:val="24"/>
                <w:szCs w:val="24"/>
              </w:rPr>
              <w:t>提供教学辅助工具，如</w:t>
            </w:r>
            <w:r>
              <w:rPr>
                <w:rFonts w:hint="eastAsia" w:ascii="宋体" w:hAnsi="宋体" w:cs="宋体"/>
                <w:color w:val="auto"/>
                <w:sz w:val="24"/>
                <w:szCs w:val="24"/>
                <w:lang w:eastAsia="zh-CN"/>
              </w:rPr>
              <w:t>：</w:t>
            </w:r>
            <w:r>
              <w:rPr>
                <w:rFonts w:hint="eastAsia" w:ascii="宋体" w:hAnsi="宋体" w:cs="宋体"/>
                <w:color w:val="auto"/>
                <w:sz w:val="24"/>
                <w:szCs w:val="24"/>
              </w:rPr>
              <w:t>直尺、圆规、三角板、聚光灯、放大镜等。</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lang w:val="en-US" w:eastAsia="zh-CN"/>
              </w:rPr>
              <w:t>30</w:t>
            </w:r>
            <w:r>
              <w:rPr>
                <w:rFonts w:hint="eastAsia" w:ascii="宋体" w:hAnsi="宋体" w:cs="宋体"/>
                <w:color w:val="auto"/>
                <w:sz w:val="24"/>
                <w:szCs w:val="24"/>
              </w:rPr>
              <w:t>、提供预置的高质量课件素材</w:t>
            </w:r>
            <w:r>
              <w:rPr>
                <w:rFonts w:hint="eastAsia" w:ascii="宋体" w:hAnsi="宋体" w:cs="宋体"/>
                <w:color w:val="auto"/>
                <w:sz w:val="24"/>
                <w:szCs w:val="24"/>
                <w:lang w:eastAsia="zh-CN"/>
              </w:rPr>
              <w:t>或课件</w:t>
            </w:r>
            <w:r>
              <w:rPr>
                <w:rFonts w:hint="eastAsia" w:ascii="宋体" w:hAnsi="宋体" w:cs="宋体"/>
                <w:color w:val="auto"/>
                <w:sz w:val="24"/>
                <w:szCs w:val="24"/>
              </w:rPr>
              <w:t>，教师可在网页端</w:t>
            </w:r>
            <w:r>
              <w:rPr>
                <w:rFonts w:hint="eastAsia" w:ascii="宋体" w:hAnsi="宋体" w:cs="宋体"/>
                <w:color w:val="auto"/>
                <w:sz w:val="24"/>
                <w:szCs w:val="24"/>
                <w:lang w:eastAsia="zh-CN"/>
              </w:rPr>
              <w:t>或</w:t>
            </w:r>
            <w:r>
              <w:rPr>
                <w:rFonts w:hint="eastAsia" w:ascii="宋体" w:hAnsi="宋体" w:cs="宋体"/>
                <w:color w:val="auto"/>
                <w:sz w:val="24"/>
                <w:szCs w:val="24"/>
              </w:rPr>
              <w:t>电脑端进行选择，快速生成课件。所有制作的课件均实时保存至云端，教师只需登录即可查看。</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lang w:val="en-US" w:eastAsia="zh-CN"/>
              </w:rPr>
              <w:t>31</w:t>
            </w:r>
            <w:r>
              <w:rPr>
                <w:rFonts w:hint="eastAsia" w:ascii="宋体" w:hAnsi="宋体" w:cs="宋体"/>
                <w:color w:val="auto"/>
                <w:sz w:val="24"/>
                <w:szCs w:val="24"/>
              </w:rPr>
              <w:t>、支持教师根据知识点</w:t>
            </w:r>
            <w:r>
              <w:rPr>
                <w:rFonts w:hint="eastAsia" w:ascii="宋体" w:hAnsi="宋体" w:cs="宋体"/>
                <w:color w:val="auto"/>
                <w:sz w:val="24"/>
                <w:szCs w:val="24"/>
                <w:lang w:eastAsia="zh-CN"/>
              </w:rPr>
              <w:t>或教材</w:t>
            </w:r>
            <w:r>
              <w:rPr>
                <w:rFonts w:hint="eastAsia" w:ascii="宋体" w:hAnsi="宋体" w:cs="宋体"/>
                <w:color w:val="auto"/>
                <w:sz w:val="24"/>
                <w:szCs w:val="24"/>
              </w:rPr>
              <w:t>选择对应的教学内容。教师仅需要按每个教学环节选择所需的教学模块即可快速生成一份课件。每个课时均提供过量的教学内容模块，满足教师的个性化需求。</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lang w:val="en-US" w:eastAsia="zh-CN"/>
              </w:rPr>
              <w:t>32</w:t>
            </w:r>
            <w:r>
              <w:rPr>
                <w:rFonts w:hint="eastAsia" w:ascii="宋体" w:hAnsi="宋体" w:cs="宋体"/>
                <w:color w:val="auto"/>
                <w:sz w:val="24"/>
                <w:szCs w:val="24"/>
              </w:rPr>
              <w:t>、教学资源需覆盖小学、初中、高中全学科的电子版本教材</w:t>
            </w:r>
            <w:r>
              <w:rPr>
                <w:rFonts w:hint="eastAsia" w:ascii="宋体" w:hAnsi="宋体" w:cs="宋体"/>
                <w:color w:val="auto"/>
                <w:sz w:val="24"/>
                <w:szCs w:val="24"/>
                <w:lang w:eastAsia="zh-CN"/>
              </w:rPr>
              <w:t>或电子课件</w:t>
            </w:r>
            <w:r>
              <w:rPr>
                <w:rFonts w:hint="eastAsia" w:ascii="宋体" w:hAnsi="宋体" w:cs="宋体"/>
                <w:color w:val="auto"/>
                <w:sz w:val="24"/>
                <w:szCs w:val="24"/>
              </w:rPr>
              <w:t>，教学模块提供课件内容，课件可直接预览并下载</w:t>
            </w:r>
            <w:r>
              <w:rPr>
                <w:rFonts w:hint="eastAsia" w:ascii="宋体" w:hAnsi="宋体" w:cs="宋体"/>
                <w:color w:val="auto"/>
                <w:sz w:val="24"/>
                <w:szCs w:val="24"/>
                <w:lang w:eastAsia="zh-CN"/>
              </w:rPr>
              <w:t>，</w:t>
            </w:r>
            <w:r>
              <w:rPr>
                <w:rFonts w:hint="eastAsia" w:ascii="宋体" w:hAnsi="宋体" w:cs="宋体"/>
                <w:color w:val="auto"/>
                <w:sz w:val="24"/>
                <w:szCs w:val="24"/>
              </w:rPr>
              <w:t>部分课件提供教学设计和课件批注，帮助教师更好地选择、运用课件内容。</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rPr>
              <w:t>三、移动授课系统：</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lang w:val="en-US" w:eastAsia="zh-CN"/>
              </w:rPr>
              <w:t>33</w:t>
            </w:r>
            <w:r>
              <w:rPr>
                <w:rFonts w:hint="eastAsia" w:ascii="宋体" w:hAnsi="宋体" w:cs="宋体"/>
                <w:color w:val="auto"/>
                <w:sz w:val="24"/>
                <w:szCs w:val="24"/>
              </w:rPr>
              <w:t>、支持手机移动端与PC端通过智能搜索或扫描二维码方式连接,为使软件操作更加方便快捷，软件页面整体呈现模块化矩阵展现方式，并且具备以下功能。</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lang w:val="en-US" w:eastAsia="zh-CN"/>
              </w:rPr>
              <w:t>34</w:t>
            </w:r>
            <w:r>
              <w:rPr>
                <w:rFonts w:hint="eastAsia" w:ascii="宋体" w:hAnsi="宋体" w:cs="宋体"/>
                <w:color w:val="auto"/>
                <w:sz w:val="24"/>
                <w:szCs w:val="24"/>
              </w:rPr>
              <w:t>、支持影像上传，支持对上传的图片内容再次编辑如旋转等操作，并且可同时上传多张照片进行同屏对比，双向批注。</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val="en-US" w:eastAsia="zh-CN"/>
              </w:rPr>
              <w:t>5</w:t>
            </w:r>
            <w:r>
              <w:rPr>
                <w:rFonts w:hint="eastAsia" w:ascii="宋体" w:hAnsi="宋体" w:cs="宋体"/>
                <w:color w:val="auto"/>
                <w:sz w:val="24"/>
                <w:szCs w:val="24"/>
              </w:rPr>
              <w:t>、软件具备课件播放功能，可以一键打开课件并播放，可快速选择PPT或白板课件进行播放。</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rPr>
              <w:t>四、资质要求及售后服务：</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36、</w:t>
            </w:r>
            <w:r>
              <w:rPr>
                <w:rFonts w:hint="default" w:ascii="宋体" w:hAnsi="宋体" w:cs="宋体"/>
                <w:color w:val="auto"/>
                <w:sz w:val="24"/>
                <w:szCs w:val="24"/>
                <w:lang w:val="en-US" w:eastAsia="zh-CN"/>
              </w:rPr>
              <w:t>制造商需具有一定的软件能力成熟度，并通过SPCA评估</w:t>
            </w:r>
            <w:r>
              <w:rPr>
                <w:rFonts w:hint="eastAsia" w:ascii="宋体" w:hAnsi="宋体" w:cs="宋体"/>
                <w:color w:val="auto"/>
                <w:sz w:val="24"/>
                <w:szCs w:val="24"/>
                <w:lang w:val="en-US" w:eastAsia="zh-CN"/>
              </w:rPr>
              <w:t>3</w:t>
            </w:r>
            <w:r>
              <w:rPr>
                <w:rFonts w:hint="default" w:ascii="宋体" w:hAnsi="宋体" w:cs="宋体"/>
                <w:color w:val="auto"/>
                <w:sz w:val="24"/>
                <w:szCs w:val="24"/>
                <w:lang w:val="en-US" w:eastAsia="zh-CN"/>
              </w:rPr>
              <w:t>级及以上认证</w:t>
            </w:r>
            <w:r>
              <w:rPr>
                <w:rFonts w:hint="eastAsia" w:ascii="宋体" w:hAnsi="宋体" w:cs="宋体"/>
                <w:color w:val="auto"/>
                <w:sz w:val="24"/>
                <w:szCs w:val="24"/>
                <w:lang w:val="en-US" w:eastAsia="zh-CN"/>
              </w:rPr>
              <w:t>。</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rPr>
              <w:t>3</w:t>
            </w:r>
            <w:r>
              <w:rPr>
                <w:rFonts w:hint="eastAsia" w:ascii="宋体" w:hAnsi="宋体" w:cs="宋体"/>
                <w:color w:val="auto"/>
                <w:sz w:val="24"/>
                <w:szCs w:val="24"/>
                <w:lang w:val="en-US" w:eastAsia="zh-CN"/>
              </w:rPr>
              <w:t>7</w:t>
            </w:r>
            <w:r>
              <w:rPr>
                <w:rFonts w:hint="eastAsia" w:ascii="宋体" w:hAnsi="宋体" w:cs="宋体"/>
                <w:color w:val="auto"/>
                <w:sz w:val="24"/>
                <w:szCs w:val="24"/>
              </w:rPr>
              <w:t>、提供在线视频教程，供用户熟悉软硬件产品的使用，由专业培训讲师免费上门培训软件使用；软件提供终身免费升级服务。</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auto"/>
                <w:sz w:val="24"/>
                <w:szCs w:val="24"/>
              </w:rPr>
            </w:pPr>
            <w:r>
              <w:rPr>
                <w:rFonts w:hint="eastAsia" w:ascii="宋体" w:hAnsi="宋体" w:cs="宋体"/>
                <w:color w:val="auto"/>
                <w:sz w:val="24"/>
                <w:szCs w:val="24"/>
                <w:lang w:val="en-US" w:eastAsia="zh-CN"/>
              </w:rPr>
              <w:t>38</w:t>
            </w:r>
            <w:r>
              <w:rPr>
                <w:rFonts w:hint="eastAsia" w:ascii="宋体" w:hAnsi="宋体" w:cs="宋体"/>
                <w:color w:val="auto"/>
                <w:sz w:val="24"/>
                <w:szCs w:val="24"/>
              </w:rPr>
              <w:t>、原厂提供整机免费保修三年（含屏体及OPS电脑）</w:t>
            </w:r>
            <w:r>
              <w:rPr>
                <w:rFonts w:hint="eastAsia" w:ascii="宋体" w:hAnsi="宋体" w:cs="宋体"/>
                <w:color w:val="auto"/>
                <w:sz w:val="24"/>
                <w:szCs w:val="24"/>
                <w:lang w:eastAsia="zh-CN"/>
              </w:rPr>
              <w:t>，</w:t>
            </w:r>
            <w:r>
              <w:rPr>
                <w:rFonts w:hint="eastAsia" w:ascii="宋体" w:hAnsi="宋体" w:cs="宋体"/>
                <w:color w:val="auto"/>
                <w:sz w:val="24"/>
                <w:szCs w:val="24"/>
              </w:rPr>
              <w:t>由专职技术工程师上门服务；软件提供终身免费升级服务，由专职培训讲师免费上门培训软件使用。</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auto"/>
                <w:sz w:val="24"/>
                <w:szCs w:val="24"/>
                <w:lang w:val="en-US" w:eastAsia="zh-CN"/>
              </w:rPr>
              <w:t>注：以上第</w:t>
            </w:r>
            <w:r>
              <w:rPr>
                <w:rFonts w:hint="default" w:ascii="宋体" w:hAnsi="宋体" w:cs="宋体"/>
                <w:color w:val="auto"/>
                <w:sz w:val="24"/>
                <w:szCs w:val="24"/>
                <w:lang w:val="en-US" w:eastAsia="zh-CN"/>
              </w:rPr>
              <w:t>1</w:t>
            </w:r>
            <w:r>
              <w:rPr>
                <w:rFonts w:hint="eastAsia" w:ascii="宋体" w:hAnsi="宋体" w:cs="宋体"/>
                <w:color w:val="auto"/>
                <w:sz w:val="24"/>
                <w:szCs w:val="24"/>
                <w:lang w:val="en-US" w:eastAsia="zh-CN"/>
              </w:rPr>
              <w:t>、2、3、4、6、11、18、19、20、21项需提供具有检验检测资质的第三方检验检测机构出具</w:t>
            </w:r>
            <w:r>
              <w:rPr>
                <w:rFonts w:hint="eastAsia" w:ascii="宋体" w:hAnsi="宋体" w:cs="宋体"/>
                <w:color w:val="000000" w:themeColor="text1"/>
                <w:sz w:val="24"/>
                <w:szCs w:val="24"/>
                <w:lang w:val="en-US" w:eastAsia="zh-CN"/>
                <w14:textFill>
                  <w14:solidFill>
                    <w14:schemeClr w14:val="tx1"/>
                  </w14:solidFill>
                </w14:textFill>
              </w:rPr>
              <w:t>的有效合格检验检测报告复印件，并加盖投标人公章，报告需体现CMA或CNAS标志；原件备查。</w:t>
            </w:r>
          </w:p>
        </w:tc>
        <w:tc>
          <w:tcPr>
            <w:tcW w:w="883" w:type="dxa"/>
            <w:vAlign w:val="center"/>
          </w:tcPr>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76</w:t>
            </w:r>
            <w:r>
              <w:rPr>
                <w:rFonts w:hint="eastAsia" w:ascii="宋体" w:hAnsi="宋体" w:cs="宋体"/>
                <w:color w:val="000000" w:themeColor="text1"/>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9" w:type="dxa"/>
            <w:vAlign w:val="center"/>
          </w:tcPr>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942" w:type="dxa"/>
            <w:vAlign w:val="center"/>
          </w:tcPr>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000000" w:themeColor="text1"/>
                <w:sz w:val="24"/>
                <w:szCs w:val="24"/>
                <w14:textFill>
                  <w14:solidFill>
                    <w14:schemeClr w14:val="tx1"/>
                  </w14:solidFill>
                </w14:textFill>
              </w:rPr>
            </w:pP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壁挂高清展台</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000000" w:themeColor="text1"/>
                <w:sz w:val="24"/>
                <w:szCs w:val="24"/>
                <w14:textFill>
                  <w14:solidFill>
                    <w14:schemeClr w14:val="tx1"/>
                  </w14:solidFill>
                </w14:textFill>
              </w:rPr>
            </w:pPr>
          </w:p>
        </w:tc>
        <w:tc>
          <w:tcPr>
            <w:tcW w:w="6859" w:type="dxa"/>
          </w:tcPr>
          <w:p>
            <w:pPr>
              <w:pStyle w:val="23"/>
              <w:keepNext w:val="0"/>
              <w:keepLines w:val="0"/>
              <w:pageBreakBefore w:val="0"/>
              <w:numPr>
                <w:ilvl w:val="0"/>
                <w:numId w:val="1"/>
              </w:numPr>
              <w:kinsoku/>
              <w:wordWrap/>
              <w:overflowPunct/>
              <w:topLinePunct w:val="0"/>
              <w:autoSpaceDE/>
              <w:autoSpaceDN/>
              <w:bidi w:val="0"/>
              <w:adjustRightInd/>
              <w:snapToGrid/>
              <w:spacing w:line="520" w:lineRule="exact"/>
              <w:jc w:val="left"/>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pPr>
            <w:r>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t>箱体环保材质，耐磨防锈，整机无锐角无利边设计，关注师生安全。</w:t>
            </w:r>
          </w:p>
          <w:p>
            <w:pPr>
              <w:pStyle w:val="23"/>
              <w:keepNext w:val="0"/>
              <w:keepLines w:val="0"/>
              <w:pageBreakBefore w:val="0"/>
              <w:numPr>
                <w:ilvl w:val="0"/>
                <w:numId w:val="1"/>
              </w:numPr>
              <w:kinsoku/>
              <w:wordWrap/>
              <w:overflowPunct/>
              <w:topLinePunct w:val="0"/>
              <w:autoSpaceDE/>
              <w:autoSpaceDN/>
              <w:bidi w:val="0"/>
              <w:adjustRightInd/>
              <w:snapToGrid/>
              <w:spacing w:line="520" w:lineRule="exact"/>
              <w:jc w:val="left"/>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pPr>
            <w:r>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t>壁挂式安装；展台模块化前拆设计，不用拆卸挂箱即可更换展台，便于安装和维护。</w:t>
            </w:r>
          </w:p>
          <w:p>
            <w:pPr>
              <w:pStyle w:val="23"/>
              <w:keepNext w:val="0"/>
              <w:keepLines w:val="0"/>
              <w:pageBreakBefore w:val="0"/>
              <w:kinsoku/>
              <w:wordWrap/>
              <w:overflowPunct/>
              <w:topLinePunct w:val="0"/>
              <w:autoSpaceDE/>
              <w:autoSpaceDN/>
              <w:bidi w:val="0"/>
              <w:adjustRightInd/>
              <w:snapToGrid/>
              <w:spacing w:line="520" w:lineRule="exact"/>
              <w:ind w:right="120"/>
              <w:jc w:val="left"/>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pPr>
            <w:r>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t>3、镜头像素：≥1300 万；1080P动态视频预览达到30帧/秒。</w:t>
            </w:r>
          </w:p>
          <w:p>
            <w:pPr>
              <w:pStyle w:val="23"/>
              <w:keepNext w:val="0"/>
              <w:keepLines w:val="0"/>
              <w:pageBreakBefore w:val="0"/>
              <w:kinsoku/>
              <w:wordWrap/>
              <w:overflowPunct/>
              <w:topLinePunct w:val="0"/>
              <w:autoSpaceDE/>
              <w:autoSpaceDN/>
              <w:bidi w:val="0"/>
              <w:adjustRightInd/>
              <w:snapToGrid/>
              <w:spacing w:line="520" w:lineRule="exact"/>
              <w:ind w:right="120"/>
              <w:jc w:val="left"/>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pPr>
            <w:r>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t>4、箱体内嵌至少1个USB接口，可外接U盘或无线键鼠的接收器；支持快速切换，实现鸟瞰功能。</w:t>
            </w:r>
          </w:p>
          <w:p>
            <w:pPr>
              <w:pStyle w:val="24"/>
              <w:keepNext w:val="0"/>
              <w:keepLines w:val="0"/>
              <w:pageBreakBefore w:val="0"/>
              <w:kinsoku/>
              <w:wordWrap/>
              <w:overflowPunct/>
              <w:topLinePunct w:val="0"/>
              <w:autoSpaceDE/>
              <w:autoSpaceDN/>
              <w:bidi w:val="0"/>
              <w:adjustRightInd/>
              <w:snapToGrid/>
              <w:spacing w:line="520" w:lineRule="exact"/>
              <w:ind w:right="120"/>
              <w:jc w:val="left"/>
              <w:rPr>
                <w:rFonts w:hint="default" w:ascii="宋体" w:hAnsi="宋体" w:cs="宋体" w:eastAsiaTheme="minorEastAsia"/>
                <w:color w:val="000000" w:themeColor="text1"/>
                <w:kern w:val="2"/>
                <w:sz w:val="24"/>
                <w:szCs w:val="24"/>
                <w:lang w:val="en-US" w:eastAsia="zh-CN" w:bidi="ar-SA"/>
                <w14:textFill>
                  <w14:solidFill>
                    <w14:schemeClr w14:val="tx1"/>
                  </w14:solidFill>
                </w14:textFill>
              </w:rPr>
            </w:pPr>
            <w:r>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t>5、</w:t>
            </w:r>
            <w:r>
              <w:rPr>
                <w:rFonts w:hint="eastAsia" w:ascii="宋体" w:hAnsi="宋体" w:cs="宋体" w:eastAsiaTheme="minorEastAsia"/>
                <w:color w:val="000000" w:themeColor="text1"/>
                <w:kern w:val="2"/>
                <w:sz w:val="24"/>
                <w:szCs w:val="24"/>
                <w:lang w:val="en-US" w:eastAsia="zh-Hans" w:bidi="ar-SA"/>
                <w14:textFill>
                  <w14:solidFill>
                    <w14:schemeClr w14:val="tx1"/>
                  </w14:solidFill>
                </w14:textFill>
              </w:rPr>
              <w:t>按键：整机至少1个独立按键，光源补偿：LED五级光源补偿。</w:t>
            </w:r>
          </w:p>
          <w:p>
            <w:pPr>
              <w:pStyle w:val="23"/>
              <w:keepNext w:val="0"/>
              <w:keepLines w:val="0"/>
              <w:pageBreakBefore w:val="0"/>
              <w:kinsoku/>
              <w:wordWrap/>
              <w:overflowPunct/>
              <w:topLinePunct w:val="0"/>
              <w:autoSpaceDE/>
              <w:autoSpaceDN/>
              <w:bidi w:val="0"/>
              <w:adjustRightInd/>
              <w:snapToGrid/>
              <w:spacing w:line="520" w:lineRule="exact"/>
              <w:ind w:right="120"/>
              <w:jc w:val="left"/>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pPr>
            <w:r>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t>6、软件界面与功能图标内嵌中文，清晰易用，老师不用查阅帮助就能使用，减少误操作，软件基础功能：可预设画笔批注的粗细及颜色，支持对展台画面进行移动、缩放。</w:t>
            </w:r>
          </w:p>
          <w:p>
            <w:pPr>
              <w:pStyle w:val="23"/>
              <w:keepNext w:val="0"/>
              <w:keepLines w:val="0"/>
              <w:pageBreakBefore w:val="0"/>
              <w:kinsoku/>
              <w:wordWrap/>
              <w:overflowPunct/>
              <w:topLinePunct w:val="0"/>
              <w:autoSpaceDE/>
              <w:autoSpaceDN/>
              <w:bidi w:val="0"/>
              <w:adjustRightInd/>
              <w:snapToGrid/>
              <w:spacing w:line="520" w:lineRule="exact"/>
              <w:ind w:right="120"/>
              <w:jc w:val="left"/>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pPr>
            <w:r>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t>7、图像特技：延时拍照、聚光灯、负片、镜像、黑白、自动曝光、视频冻结、同屏对比、左右旋转、屏幕录制。</w:t>
            </w:r>
          </w:p>
          <w:p>
            <w:pPr>
              <w:pStyle w:val="23"/>
              <w:keepNext w:val="0"/>
              <w:keepLines w:val="0"/>
              <w:pageBreakBefore w:val="0"/>
              <w:kinsoku/>
              <w:wordWrap/>
              <w:overflowPunct/>
              <w:topLinePunct w:val="0"/>
              <w:autoSpaceDE/>
              <w:autoSpaceDN/>
              <w:bidi w:val="0"/>
              <w:adjustRightInd/>
              <w:snapToGrid/>
              <w:spacing w:line="520" w:lineRule="exact"/>
              <w:ind w:right="120"/>
              <w:jc w:val="left"/>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pPr>
            <w:r>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t>8、自动检测：软件支持故障自检功能，帮助用户检测“无画面”的原因，并给出引导性的修复和解决方案，可判断硬件连接、视频解码器、显卡驱动、摄像头通道占用等问题，同时也有显示微信和技术电话提供协助。</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、二维码扫码功能：打开扫一扫功能后，将书本上的二维码放入扫描框内即可自动扫描，并进入系统浏览器获取二维码的链接内容，帮助老师快速获取电子教学资源。</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、原厂提供整机免费保修三年，由专职技术工程师上门服务；软件提供终身免费升级服务，由专职培训讲师免费上门培训软件使用。</w:t>
            </w:r>
          </w:p>
        </w:tc>
        <w:tc>
          <w:tcPr>
            <w:tcW w:w="883" w:type="dxa"/>
            <w:vAlign w:val="center"/>
          </w:tcPr>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76</w:t>
            </w:r>
            <w:r>
              <w:rPr>
                <w:rFonts w:hint="eastAsia" w:ascii="宋体" w:hAnsi="宋体" w:cs="宋体"/>
                <w:color w:val="000000" w:themeColor="text1"/>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9" w:type="dxa"/>
            <w:vAlign w:val="center"/>
          </w:tcPr>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942" w:type="dxa"/>
            <w:vAlign w:val="center"/>
          </w:tcPr>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000000" w:themeColor="text1"/>
                <w:sz w:val="24"/>
                <w:szCs w:val="24"/>
                <w14:textFill>
                  <w14:solidFill>
                    <w14:schemeClr w14:val="tx1"/>
                  </w14:solidFill>
                </w14:textFill>
              </w:rPr>
            </w:pP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交互式推拉黑板</w:t>
            </w:r>
          </w:p>
        </w:tc>
        <w:tc>
          <w:tcPr>
            <w:tcW w:w="6859" w:type="dxa"/>
          </w:tcPr>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1、基本尺寸：≥4300mm×1300mm，</w:t>
            </w:r>
            <w:r>
              <w:rPr>
                <w:rFonts w:hint="eastAsia" w:ascii="宋体" w:hAnsi="宋体" w:cs="宋体"/>
                <w:color w:val="000000" w:themeColor="text1"/>
                <w:sz w:val="24"/>
                <w:szCs w:val="24"/>
                <w:lang w:eastAsia="zh-CN"/>
                <w14:textFill>
                  <w14:solidFill>
                    <w14:schemeClr w14:val="tx1"/>
                  </w14:solidFill>
                </w14:textFill>
              </w:rPr>
              <w:t>由四块组合推拉，</w:t>
            </w:r>
            <w:r>
              <w:rPr>
                <w:rFonts w:hint="eastAsia" w:ascii="宋体" w:hAnsi="宋体" w:cs="宋体"/>
                <w:color w:val="000000" w:themeColor="text1"/>
                <w:sz w:val="24"/>
                <w:szCs w:val="24"/>
                <w14:textFill>
                  <w14:solidFill>
                    <w14:schemeClr w14:val="tx1"/>
                  </w14:solidFill>
                </w14:textFill>
              </w:rPr>
              <w:t>可根据所配一体机适当调整，确保与一体机的有效配套；边框无明显眩光；横（立）框采用双层加强结构，厚≥10㎜。</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2、书写板面：采用优质烤漆钢板，厚度≥0.3mm。板面为亚光墨绿色、无裂纹、无流痕、无气泡等缺陷。内芯材料：选用高强度、吸音、防潮、阻燃聚苯乙烯板，厚度≥13mm。</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3、背板： 采用优质镀锌钢板，流水线一次成型。每隔8cm一个≥2cm加强凹槽，保证背板在长期使用中挺括坚固。覆板：采用环保型双组份聚氨酯胶水，自动化流水线覆板作业，牵引、滴胶、刷胶、压固、切割下料一次完成，确保粘接牢固板面平整，甲醛释放量≤0.2mg/L，符合GB/T 28231-2011《书写板安全卫生要求》。</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4、侧封：黑板两侧配有与边框同色同质侧封，与触控一体机厚度匹配遮挡缝隙，提高美观度。滑轮：采用上吊轮双滑道、下平形滑块，滑动顺畅、噪音小；书写时定位精确不晃动、滑动板前后晃动小于0.5mm。</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限位档：黑板边框内部两侧安装滑动板限位档XTL，防止活动黑板开启时潘撞击立框。</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、包角材料：采用抗老化高强度ABS工程塑料注塑成型，双壁成腔流线型设计，正面带黑板品牌LOGO标识，无尖角毛刺，符合JY0001-2003《教学仪器设备产品一般质量要求》。</w:t>
            </w:r>
          </w:p>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、安全性：</w:t>
            </w:r>
            <w:r>
              <w:rPr>
                <w:rFonts w:hint="eastAsia" w:ascii="宋体" w:hAnsi="宋体" w:cs="宋体"/>
                <w:color w:val="000000" w:themeColor="text1"/>
                <w:sz w:val="24"/>
                <w:szCs w:val="24"/>
                <w:lang w:eastAsia="zh-CN"/>
                <w14:textFill>
                  <w14:solidFill>
                    <w14:schemeClr w14:val="tx1"/>
                  </w14:solidFill>
                </w14:textFill>
              </w:rPr>
              <w:t>能</w:t>
            </w:r>
            <w:r>
              <w:rPr>
                <w:rFonts w:hint="eastAsia" w:ascii="宋体" w:hAnsi="宋体" w:cs="宋体"/>
                <w:color w:val="000000" w:themeColor="text1"/>
                <w:sz w:val="24"/>
                <w:szCs w:val="24"/>
                <w14:textFill>
                  <w14:solidFill>
                    <w14:schemeClr w14:val="tx1"/>
                  </w14:solidFill>
                </w14:textFill>
              </w:rPr>
              <w:t>实现对滑动黑板的锁定，钥匙通用，方便实用。易维护性：一体机上或下配黑色挡板一块，上下可根据一体机尺寸进行微调，两侧用H型边框与固定板配合，使一体机不用拆整套黑板即可完成维护。</w:t>
            </w:r>
          </w:p>
        </w:tc>
        <w:tc>
          <w:tcPr>
            <w:tcW w:w="883" w:type="dxa"/>
            <w:vAlign w:val="center"/>
          </w:tcPr>
          <w:p>
            <w:pPr>
              <w:pStyle w:val="24"/>
              <w:keepNext w:val="0"/>
              <w:keepLines w:val="0"/>
              <w:pageBreakBefore w:val="0"/>
              <w:widowControl/>
              <w:kinsoku/>
              <w:wordWrap/>
              <w:overflowPunct/>
              <w:topLinePunct w:val="0"/>
              <w:autoSpaceDE/>
              <w:autoSpaceDN/>
              <w:bidi w:val="0"/>
              <w:adjustRightInd/>
              <w:snapToGrid/>
              <w:spacing w:line="520" w:lineRule="exact"/>
              <w:ind w:right="120"/>
              <w:jc w:val="left"/>
              <w:textAlignment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76</w:t>
            </w:r>
            <w:r>
              <w:rPr>
                <w:rFonts w:hint="eastAsia" w:ascii="宋体" w:hAnsi="宋体" w:cs="宋体"/>
                <w:color w:val="000000" w:themeColor="text1"/>
                <w:sz w:val="24"/>
                <w:szCs w:val="24"/>
                <w14:textFill>
                  <w14:solidFill>
                    <w14:schemeClr w14:val="tx1"/>
                  </w14:solidFill>
                </w14:textFill>
              </w:rPr>
              <w:t>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9" w:type="dxa"/>
            <w:vAlign w:val="top"/>
          </w:tcPr>
          <w:p>
            <w:pPr>
              <w:pStyle w:val="23"/>
              <w:ind w:right="120" w:rightChars="0"/>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pPr>
            <w:r>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t>4</w:t>
            </w:r>
          </w:p>
        </w:tc>
        <w:tc>
          <w:tcPr>
            <w:tcW w:w="942" w:type="dxa"/>
            <w:vAlign w:val="top"/>
          </w:tcPr>
          <w:p>
            <w:pPr>
              <w:pStyle w:val="23"/>
              <w:keepNext w:val="0"/>
              <w:keepLines w:val="0"/>
              <w:pageBreakBefore w:val="0"/>
              <w:widowControl/>
              <w:kinsoku/>
              <w:wordWrap/>
              <w:overflowPunct/>
              <w:topLinePunct w:val="0"/>
              <w:autoSpaceDE/>
              <w:autoSpaceDN/>
              <w:bidi w:val="0"/>
              <w:adjustRightInd/>
              <w:snapToGrid/>
              <w:spacing w:line="520" w:lineRule="exact"/>
              <w:ind w:right="119"/>
              <w:textAlignment w:val="auto"/>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pPr>
            <w:r>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t>安装</w:t>
            </w:r>
          </w:p>
          <w:p>
            <w:pPr>
              <w:pStyle w:val="23"/>
              <w:keepNext w:val="0"/>
              <w:keepLines w:val="0"/>
              <w:pageBreakBefore w:val="0"/>
              <w:widowControl/>
              <w:kinsoku/>
              <w:wordWrap/>
              <w:overflowPunct/>
              <w:topLinePunct w:val="0"/>
              <w:autoSpaceDE/>
              <w:autoSpaceDN/>
              <w:bidi w:val="0"/>
              <w:adjustRightInd/>
              <w:snapToGrid/>
              <w:spacing w:line="520" w:lineRule="exact"/>
              <w:ind w:right="119" w:rightChars="0"/>
              <w:textAlignment w:val="auto"/>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pPr>
            <w:r>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t>材料</w:t>
            </w:r>
          </w:p>
        </w:tc>
        <w:tc>
          <w:tcPr>
            <w:tcW w:w="6859" w:type="dxa"/>
            <w:vAlign w:val="top"/>
          </w:tcPr>
          <w:p>
            <w:pPr>
              <w:pStyle w:val="23"/>
              <w:keepNext w:val="0"/>
              <w:keepLines w:val="0"/>
              <w:pageBreakBefore w:val="0"/>
              <w:widowControl/>
              <w:kinsoku/>
              <w:wordWrap/>
              <w:overflowPunct/>
              <w:topLinePunct w:val="0"/>
              <w:autoSpaceDE/>
              <w:autoSpaceDN/>
              <w:bidi w:val="0"/>
              <w:adjustRightInd/>
              <w:snapToGrid/>
              <w:spacing w:line="520" w:lineRule="exact"/>
              <w:ind w:right="119" w:rightChars="0"/>
              <w:textAlignment w:val="auto"/>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pPr>
            <w:r>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t>1、含各类壁挂架、电源线、视音频线、PVC管、PVC线槽等满足工程项目实施所必需的线材和辅材及搬运、安装调试。</w:t>
            </w:r>
          </w:p>
        </w:tc>
        <w:tc>
          <w:tcPr>
            <w:tcW w:w="883" w:type="dxa"/>
            <w:vAlign w:val="top"/>
          </w:tcPr>
          <w:p>
            <w:pPr>
              <w:pStyle w:val="23"/>
              <w:ind w:right="120" w:rightChars="0"/>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76</w:t>
            </w:r>
            <w:r>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t>套</w:t>
            </w:r>
          </w:p>
        </w:tc>
      </w:tr>
    </w:tbl>
    <w:p>
      <w:pPr>
        <w:pStyle w:val="11"/>
        <w:widowControl/>
        <w:spacing w:beforeAutospacing="0" w:afterAutospacing="0" w:line="400" w:lineRule="exact"/>
        <w:rPr>
          <w:rFonts w:hint="eastAsia" w:ascii="仿宋" w:hAnsi="仿宋" w:eastAsia="仿宋" w:cs="Times New Roman"/>
          <w:kern w:val="2"/>
          <w:sz w:val="28"/>
          <w:szCs w:val="28"/>
          <w:lang w:val="en-US" w:eastAsia="zh-CN" w:bidi="ar-SA"/>
        </w:rPr>
      </w:pPr>
    </w:p>
    <w:p>
      <w:pPr>
        <w:pStyle w:val="11"/>
        <w:widowControl/>
        <w:spacing w:beforeAutospacing="0" w:afterAutospacing="0" w:line="400" w:lineRule="exact"/>
        <w:rPr>
          <w:rFonts w:hint="eastAsia" w:ascii="仿宋" w:hAnsi="仿宋" w:eastAsia="仿宋" w:cs="Times New Roman"/>
          <w:kern w:val="2"/>
          <w:sz w:val="28"/>
          <w:szCs w:val="28"/>
          <w:lang w:val="en-US" w:eastAsia="zh-CN" w:bidi="ar-SA"/>
        </w:rPr>
      </w:pPr>
    </w:p>
    <w:p>
      <w:pPr>
        <w:pStyle w:val="11"/>
        <w:widowControl/>
        <w:spacing w:beforeAutospacing="0" w:afterAutospacing="0" w:line="400" w:lineRule="exact"/>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                                   </w:t>
      </w:r>
    </w:p>
    <w:p>
      <w:pPr>
        <w:pStyle w:val="11"/>
        <w:widowControl/>
        <w:spacing w:beforeAutospacing="0" w:afterAutospacing="0" w:line="400" w:lineRule="exact"/>
        <w:ind w:firstLine="5600" w:firstLineChars="20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永春县教育局</w:t>
      </w:r>
    </w:p>
    <w:p>
      <w:pPr>
        <w:pStyle w:val="11"/>
        <w:widowControl/>
        <w:spacing w:beforeAutospacing="0" w:afterAutospacing="0" w:line="400" w:lineRule="exact"/>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2025年6月</w:t>
      </w:r>
      <w:bookmarkStart w:id="1" w:name="_GoBack"/>
      <w:r>
        <w:rPr>
          <w:rFonts w:hint="eastAsia" w:ascii="仿宋" w:hAnsi="仿宋" w:eastAsia="仿宋" w:cs="Times New Roman"/>
          <w:kern w:val="2"/>
          <w:sz w:val="28"/>
          <w:szCs w:val="28"/>
          <w:lang w:val="en-US" w:eastAsia="zh-CN" w:bidi="ar-SA"/>
        </w:rPr>
        <w:t>17</w:t>
      </w:r>
      <w:bookmarkEnd w:id="1"/>
      <w:r>
        <w:rPr>
          <w:rFonts w:hint="eastAsia" w:ascii="仿宋" w:hAnsi="仿宋" w:eastAsia="仿宋" w:cs="Times New Roman"/>
          <w:kern w:val="2"/>
          <w:sz w:val="28"/>
          <w:szCs w:val="28"/>
          <w:lang w:val="en-US" w:eastAsia="zh-CN" w:bidi="ar-SA"/>
        </w:rPr>
        <w:t>日</w:t>
      </w:r>
    </w:p>
    <w:sectPr>
      <w:pgSz w:w="11906" w:h="16838"/>
      <w:pgMar w:top="1247"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4E8970"/>
    <w:multiLevelType w:val="singleLevel"/>
    <w:tmpl w:val="DE4E897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OTg3YTZlM2YzYmM0YTY0YTAzYzg4MmYxMTk4YjYifQ=="/>
  </w:docVars>
  <w:rsids>
    <w:rsidRoot w:val="7CD06D3E"/>
    <w:rsid w:val="00020091"/>
    <w:rsid w:val="000364C8"/>
    <w:rsid w:val="00045593"/>
    <w:rsid w:val="000519D6"/>
    <w:rsid w:val="0006559D"/>
    <w:rsid w:val="00074E70"/>
    <w:rsid w:val="00096AC8"/>
    <w:rsid w:val="000B1ABE"/>
    <w:rsid w:val="000C060B"/>
    <w:rsid w:val="000C667C"/>
    <w:rsid w:val="0010394A"/>
    <w:rsid w:val="0010691D"/>
    <w:rsid w:val="00114FAB"/>
    <w:rsid w:val="00115573"/>
    <w:rsid w:val="00143FAE"/>
    <w:rsid w:val="001546C8"/>
    <w:rsid w:val="001804B9"/>
    <w:rsid w:val="00194754"/>
    <w:rsid w:val="00197424"/>
    <w:rsid w:val="001A1317"/>
    <w:rsid w:val="001C0F42"/>
    <w:rsid w:val="001D37FA"/>
    <w:rsid w:val="001D413B"/>
    <w:rsid w:val="002048DE"/>
    <w:rsid w:val="00207B20"/>
    <w:rsid w:val="002115E1"/>
    <w:rsid w:val="00216F70"/>
    <w:rsid w:val="00230644"/>
    <w:rsid w:val="00297330"/>
    <w:rsid w:val="002A4E6F"/>
    <w:rsid w:val="002B0E1D"/>
    <w:rsid w:val="002C5627"/>
    <w:rsid w:val="002D03A2"/>
    <w:rsid w:val="002F0A9F"/>
    <w:rsid w:val="00321375"/>
    <w:rsid w:val="00340282"/>
    <w:rsid w:val="003419FB"/>
    <w:rsid w:val="00367A70"/>
    <w:rsid w:val="00371936"/>
    <w:rsid w:val="003A2F4F"/>
    <w:rsid w:val="003A65FF"/>
    <w:rsid w:val="003B1988"/>
    <w:rsid w:val="003B23AD"/>
    <w:rsid w:val="003B2E7F"/>
    <w:rsid w:val="003B7414"/>
    <w:rsid w:val="00410222"/>
    <w:rsid w:val="00461A39"/>
    <w:rsid w:val="004721C1"/>
    <w:rsid w:val="004767B7"/>
    <w:rsid w:val="00481AA7"/>
    <w:rsid w:val="00486FF0"/>
    <w:rsid w:val="004C44FD"/>
    <w:rsid w:val="004D3873"/>
    <w:rsid w:val="004E027A"/>
    <w:rsid w:val="00554552"/>
    <w:rsid w:val="005720D8"/>
    <w:rsid w:val="00576920"/>
    <w:rsid w:val="005A3D78"/>
    <w:rsid w:val="005B17FD"/>
    <w:rsid w:val="005B7F39"/>
    <w:rsid w:val="005D02FD"/>
    <w:rsid w:val="005E50EF"/>
    <w:rsid w:val="00601581"/>
    <w:rsid w:val="00602151"/>
    <w:rsid w:val="00602D29"/>
    <w:rsid w:val="0060565F"/>
    <w:rsid w:val="00611B90"/>
    <w:rsid w:val="00613370"/>
    <w:rsid w:val="00626DF0"/>
    <w:rsid w:val="00632402"/>
    <w:rsid w:val="00633985"/>
    <w:rsid w:val="00646965"/>
    <w:rsid w:val="00663A7F"/>
    <w:rsid w:val="00675430"/>
    <w:rsid w:val="006813A9"/>
    <w:rsid w:val="00696934"/>
    <w:rsid w:val="006B3A50"/>
    <w:rsid w:val="006B794A"/>
    <w:rsid w:val="006C5320"/>
    <w:rsid w:val="006D3D24"/>
    <w:rsid w:val="007402C9"/>
    <w:rsid w:val="007442A4"/>
    <w:rsid w:val="0076252B"/>
    <w:rsid w:val="00786F9A"/>
    <w:rsid w:val="007905C8"/>
    <w:rsid w:val="007C5BB2"/>
    <w:rsid w:val="007D20BB"/>
    <w:rsid w:val="007F2802"/>
    <w:rsid w:val="008061E5"/>
    <w:rsid w:val="0080792A"/>
    <w:rsid w:val="0081700A"/>
    <w:rsid w:val="008244AA"/>
    <w:rsid w:val="00827FDF"/>
    <w:rsid w:val="008333BE"/>
    <w:rsid w:val="008604D6"/>
    <w:rsid w:val="008F433B"/>
    <w:rsid w:val="00903026"/>
    <w:rsid w:val="00903F12"/>
    <w:rsid w:val="00911716"/>
    <w:rsid w:val="009429A0"/>
    <w:rsid w:val="00987AAB"/>
    <w:rsid w:val="009B51B9"/>
    <w:rsid w:val="009D7E26"/>
    <w:rsid w:val="009F69CA"/>
    <w:rsid w:val="00A151CF"/>
    <w:rsid w:val="00A16F9C"/>
    <w:rsid w:val="00A33343"/>
    <w:rsid w:val="00A47C33"/>
    <w:rsid w:val="00A56DE8"/>
    <w:rsid w:val="00A64CDC"/>
    <w:rsid w:val="00A668A1"/>
    <w:rsid w:val="00A734CD"/>
    <w:rsid w:val="00A735E4"/>
    <w:rsid w:val="00AB5AFA"/>
    <w:rsid w:val="00AC0A08"/>
    <w:rsid w:val="00AE4F5D"/>
    <w:rsid w:val="00AF2F41"/>
    <w:rsid w:val="00AF4936"/>
    <w:rsid w:val="00B0669A"/>
    <w:rsid w:val="00B31783"/>
    <w:rsid w:val="00B7007D"/>
    <w:rsid w:val="00BB5C30"/>
    <w:rsid w:val="00BE2DAD"/>
    <w:rsid w:val="00C02280"/>
    <w:rsid w:val="00C121DB"/>
    <w:rsid w:val="00C13530"/>
    <w:rsid w:val="00C415AB"/>
    <w:rsid w:val="00C5351F"/>
    <w:rsid w:val="00CA02D0"/>
    <w:rsid w:val="00CD2E43"/>
    <w:rsid w:val="00CD7E33"/>
    <w:rsid w:val="00D01B63"/>
    <w:rsid w:val="00D047F3"/>
    <w:rsid w:val="00D05D5F"/>
    <w:rsid w:val="00D06572"/>
    <w:rsid w:val="00D20E4F"/>
    <w:rsid w:val="00D65F2A"/>
    <w:rsid w:val="00D85B4B"/>
    <w:rsid w:val="00DC082C"/>
    <w:rsid w:val="00DE0FD4"/>
    <w:rsid w:val="00DE1090"/>
    <w:rsid w:val="00E47B89"/>
    <w:rsid w:val="00E6236D"/>
    <w:rsid w:val="00E64740"/>
    <w:rsid w:val="00E757DF"/>
    <w:rsid w:val="00E97E1D"/>
    <w:rsid w:val="00EA4436"/>
    <w:rsid w:val="00ED6FB7"/>
    <w:rsid w:val="00EE1CDB"/>
    <w:rsid w:val="00F3664D"/>
    <w:rsid w:val="00F63B9B"/>
    <w:rsid w:val="00F707E7"/>
    <w:rsid w:val="00F86A7C"/>
    <w:rsid w:val="00FB49E8"/>
    <w:rsid w:val="00FD691D"/>
    <w:rsid w:val="01F64027"/>
    <w:rsid w:val="029355FD"/>
    <w:rsid w:val="04820ADC"/>
    <w:rsid w:val="04B107A2"/>
    <w:rsid w:val="06F66CFB"/>
    <w:rsid w:val="08BD5E23"/>
    <w:rsid w:val="08DE04B9"/>
    <w:rsid w:val="09CA440C"/>
    <w:rsid w:val="0FBB6A12"/>
    <w:rsid w:val="0FE93B36"/>
    <w:rsid w:val="0FEC4B7F"/>
    <w:rsid w:val="10327E93"/>
    <w:rsid w:val="125A5F17"/>
    <w:rsid w:val="1347361C"/>
    <w:rsid w:val="150C0679"/>
    <w:rsid w:val="159468C1"/>
    <w:rsid w:val="16535398"/>
    <w:rsid w:val="186FECB3"/>
    <w:rsid w:val="19FBDF39"/>
    <w:rsid w:val="1A333C99"/>
    <w:rsid w:val="1B252495"/>
    <w:rsid w:val="1BA915CD"/>
    <w:rsid w:val="1C320BCB"/>
    <w:rsid w:val="1CF62A39"/>
    <w:rsid w:val="1F910932"/>
    <w:rsid w:val="203E27C9"/>
    <w:rsid w:val="20EA3839"/>
    <w:rsid w:val="219D4601"/>
    <w:rsid w:val="247B4943"/>
    <w:rsid w:val="269A6B45"/>
    <w:rsid w:val="26FCE655"/>
    <w:rsid w:val="279F4CAA"/>
    <w:rsid w:val="27EDA968"/>
    <w:rsid w:val="27EF0A4C"/>
    <w:rsid w:val="28011676"/>
    <w:rsid w:val="2AEF9AA2"/>
    <w:rsid w:val="2BE17359"/>
    <w:rsid w:val="2CFF54AB"/>
    <w:rsid w:val="2D967F30"/>
    <w:rsid w:val="2F230642"/>
    <w:rsid w:val="2F970F10"/>
    <w:rsid w:val="317E24A7"/>
    <w:rsid w:val="31FBB88A"/>
    <w:rsid w:val="323B2146"/>
    <w:rsid w:val="32D37D6D"/>
    <w:rsid w:val="33157343"/>
    <w:rsid w:val="33874BA0"/>
    <w:rsid w:val="34570A84"/>
    <w:rsid w:val="350C76F2"/>
    <w:rsid w:val="35CE533D"/>
    <w:rsid w:val="367B4B74"/>
    <w:rsid w:val="371F3DE4"/>
    <w:rsid w:val="39557F91"/>
    <w:rsid w:val="3DE7C092"/>
    <w:rsid w:val="3E67C501"/>
    <w:rsid w:val="3EAB0AA6"/>
    <w:rsid w:val="3F538CB2"/>
    <w:rsid w:val="3FBD97F2"/>
    <w:rsid w:val="403B66FC"/>
    <w:rsid w:val="417E3DFD"/>
    <w:rsid w:val="421C20FC"/>
    <w:rsid w:val="456815F5"/>
    <w:rsid w:val="46431172"/>
    <w:rsid w:val="47F5B721"/>
    <w:rsid w:val="48106941"/>
    <w:rsid w:val="492A07DE"/>
    <w:rsid w:val="499E2894"/>
    <w:rsid w:val="4BF7EEC4"/>
    <w:rsid w:val="4FE90634"/>
    <w:rsid w:val="51B03FF3"/>
    <w:rsid w:val="522F38A0"/>
    <w:rsid w:val="53656D1B"/>
    <w:rsid w:val="53AA0ECF"/>
    <w:rsid w:val="54281EF1"/>
    <w:rsid w:val="55F71B65"/>
    <w:rsid w:val="57A37CC2"/>
    <w:rsid w:val="59D67A6F"/>
    <w:rsid w:val="59DB1AE1"/>
    <w:rsid w:val="5B3D3B5D"/>
    <w:rsid w:val="5B6B867D"/>
    <w:rsid w:val="5C725D18"/>
    <w:rsid w:val="5E0F7E5F"/>
    <w:rsid w:val="5E805A3B"/>
    <w:rsid w:val="5EB7485E"/>
    <w:rsid w:val="5F0059FA"/>
    <w:rsid w:val="5FCE4B83"/>
    <w:rsid w:val="5FEF1EB7"/>
    <w:rsid w:val="60FA2A46"/>
    <w:rsid w:val="62154B16"/>
    <w:rsid w:val="62B07A33"/>
    <w:rsid w:val="639A466F"/>
    <w:rsid w:val="63C91797"/>
    <w:rsid w:val="64DE70F2"/>
    <w:rsid w:val="65056032"/>
    <w:rsid w:val="65611973"/>
    <w:rsid w:val="656D3547"/>
    <w:rsid w:val="65F8C743"/>
    <w:rsid w:val="66592D32"/>
    <w:rsid w:val="680C14CF"/>
    <w:rsid w:val="685079F2"/>
    <w:rsid w:val="68CE5B3F"/>
    <w:rsid w:val="690661A1"/>
    <w:rsid w:val="697953C6"/>
    <w:rsid w:val="697D65C5"/>
    <w:rsid w:val="6B1F456D"/>
    <w:rsid w:val="6BF7DE3F"/>
    <w:rsid w:val="6C887978"/>
    <w:rsid w:val="6D282CEC"/>
    <w:rsid w:val="6D57319D"/>
    <w:rsid w:val="6EF17979"/>
    <w:rsid w:val="6F5222A2"/>
    <w:rsid w:val="6FC7EB06"/>
    <w:rsid w:val="728704A5"/>
    <w:rsid w:val="729712C3"/>
    <w:rsid w:val="730D6D82"/>
    <w:rsid w:val="7394780C"/>
    <w:rsid w:val="73DFF68C"/>
    <w:rsid w:val="74982505"/>
    <w:rsid w:val="75B31E69"/>
    <w:rsid w:val="76776056"/>
    <w:rsid w:val="777F5FA7"/>
    <w:rsid w:val="77D4BFFB"/>
    <w:rsid w:val="77EED7C2"/>
    <w:rsid w:val="780B1240"/>
    <w:rsid w:val="78E636B9"/>
    <w:rsid w:val="795B0313"/>
    <w:rsid w:val="79D33FDF"/>
    <w:rsid w:val="79FEF7AB"/>
    <w:rsid w:val="7A1A1C0E"/>
    <w:rsid w:val="7A731AD0"/>
    <w:rsid w:val="7AFC7AA5"/>
    <w:rsid w:val="7B5440AB"/>
    <w:rsid w:val="7B996ED4"/>
    <w:rsid w:val="7BE7EF86"/>
    <w:rsid w:val="7CD06D3E"/>
    <w:rsid w:val="7D33B982"/>
    <w:rsid w:val="7DB57E85"/>
    <w:rsid w:val="7DFF6B48"/>
    <w:rsid w:val="7EE2DF99"/>
    <w:rsid w:val="7EEB1063"/>
    <w:rsid w:val="7EF84A80"/>
    <w:rsid w:val="7F6D4CC9"/>
    <w:rsid w:val="7F7D320F"/>
    <w:rsid w:val="7FB063AB"/>
    <w:rsid w:val="7FBD5C52"/>
    <w:rsid w:val="7FDE9F2F"/>
    <w:rsid w:val="7FDF6772"/>
    <w:rsid w:val="7FFB11BB"/>
    <w:rsid w:val="9A336F43"/>
    <w:rsid w:val="AEFA6373"/>
    <w:rsid w:val="AFDBCE58"/>
    <w:rsid w:val="AFEFF0D6"/>
    <w:rsid w:val="B7D5DEA2"/>
    <w:rsid w:val="BB9E119A"/>
    <w:rsid w:val="BBEBBD58"/>
    <w:rsid w:val="BBF553DC"/>
    <w:rsid w:val="BDDB6B37"/>
    <w:rsid w:val="BE49421E"/>
    <w:rsid w:val="BF6BD135"/>
    <w:rsid w:val="BFEB6264"/>
    <w:rsid w:val="BFFF38DF"/>
    <w:rsid w:val="CFFA327D"/>
    <w:rsid w:val="D2FB8B10"/>
    <w:rsid w:val="DB7720BF"/>
    <w:rsid w:val="DCF7557D"/>
    <w:rsid w:val="DD6C7718"/>
    <w:rsid w:val="DDEE780E"/>
    <w:rsid w:val="DEDF5054"/>
    <w:rsid w:val="DF62E661"/>
    <w:rsid w:val="DFFD302A"/>
    <w:rsid w:val="E6BF8680"/>
    <w:rsid w:val="ECEA41BA"/>
    <w:rsid w:val="EDDBA25B"/>
    <w:rsid w:val="EFFF2CCC"/>
    <w:rsid w:val="F0E70F2C"/>
    <w:rsid w:val="F3553F4C"/>
    <w:rsid w:val="F3F0373A"/>
    <w:rsid w:val="F3F8E0E0"/>
    <w:rsid w:val="F3FE061F"/>
    <w:rsid w:val="F6AFE378"/>
    <w:rsid w:val="F77D960E"/>
    <w:rsid w:val="F8D5ECDA"/>
    <w:rsid w:val="F97FE8D4"/>
    <w:rsid w:val="FBD7A618"/>
    <w:rsid w:val="FD53AA1C"/>
    <w:rsid w:val="FD7F8DC8"/>
    <w:rsid w:val="FEB742EC"/>
    <w:rsid w:val="FED74D19"/>
    <w:rsid w:val="FEDF1557"/>
    <w:rsid w:val="FEFF7305"/>
    <w:rsid w:val="FFBB19E2"/>
    <w:rsid w:val="FFBE0F1B"/>
    <w:rsid w:val="FFEE62A1"/>
    <w:rsid w:val="FFF8B5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ascii="Times New Roman" w:hAnsi="Times New Roman" w:eastAsia="宋体"/>
      <w:b/>
      <w:kern w:val="44"/>
      <w:sz w:val="36"/>
    </w:rPr>
  </w:style>
  <w:style w:type="paragraph" w:styleId="3">
    <w:name w:val="heading 2"/>
    <w:basedOn w:val="1"/>
    <w:next w:val="1"/>
    <w:unhideWhenUsed/>
    <w:qFormat/>
    <w:uiPriority w:val="0"/>
    <w:pPr>
      <w:keepNext/>
      <w:keepLines/>
      <w:spacing w:before="260" w:after="260" w:line="415" w:lineRule="auto"/>
      <w:ind w:left="100" w:leftChars="100"/>
      <w:jc w:val="left"/>
      <w:outlineLvl w:val="1"/>
    </w:pPr>
    <w:rPr>
      <w:rFonts w:ascii="Arial" w:hAnsi="Arial" w:eastAsia="黑体"/>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szCs w:val="20"/>
    </w:rPr>
  </w:style>
  <w:style w:type="paragraph" w:styleId="5">
    <w:name w:val="annotation text"/>
    <w:basedOn w:val="1"/>
    <w:qFormat/>
    <w:uiPriority w:val="0"/>
    <w:pPr>
      <w:jc w:val="left"/>
    </w:pPr>
  </w:style>
  <w:style w:type="paragraph" w:styleId="6">
    <w:name w:val="Body Text"/>
    <w:basedOn w:val="1"/>
    <w:qFormat/>
    <w:uiPriority w:val="1"/>
    <w:rPr>
      <w:rFonts w:ascii="Times New Roman" w:hAnsi="Times New Roman" w:eastAsia="宋体" w:cs="Times New Roman"/>
      <w:szCs w:val="21"/>
    </w:rPr>
  </w:style>
  <w:style w:type="paragraph" w:styleId="7">
    <w:name w:val="Body Text Indent"/>
    <w:basedOn w:val="1"/>
    <w:semiHidden/>
    <w:unhideWhenUsed/>
    <w:qFormat/>
    <w:uiPriority w:val="99"/>
    <w:pPr>
      <w:spacing w:after="120" w:afterLines="0" w:afterAutospacing="0"/>
      <w:ind w:left="420" w:leftChars="200"/>
    </w:pPr>
  </w:style>
  <w:style w:type="paragraph" w:styleId="8">
    <w:name w:val="Block Text"/>
    <w:basedOn w:val="1"/>
    <w:semiHidden/>
    <w:qFormat/>
    <w:uiPriority w:val="0"/>
    <w:pPr>
      <w:spacing w:after="120"/>
      <w:ind w:left="1440" w:leftChars="700" w:right="1440" w:rightChars="70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Title"/>
    <w:basedOn w:val="1"/>
    <w:next w:val="1"/>
    <w:link w:val="21"/>
    <w:qFormat/>
    <w:uiPriority w:val="0"/>
    <w:pPr>
      <w:spacing w:before="240" w:after="60"/>
      <w:jc w:val="center"/>
      <w:outlineLvl w:val="0"/>
    </w:pPr>
    <w:rPr>
      <w:rFonts w:eastAsia="宋体" w:asciiTheme="majorHAnsi" w:hAnsiTheme="majorHAnsi" w:cstheme="majorBidi"/>
      <w:b/>
      <w:bCs/>
      <w:sz w:val="32"/>
      <w:szCs w:val="32"/>
    </w:rPr>
  </w:style>
  <w:style w:type="paragraph" w:styleId="13">
    <w:name w:val="Body Text First Indent 2"/>
    <w:basedOn w:val="7"/>
    <w:semiHidden/>
    <w:unhideWhenUsed/>
    <w:qFormat/>
    <w:uiPriority w:val="99"/>
    <w:pPr>
      <w:ind w:firstLine="420" w:firstLineChars="200"/>
    </w:p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样式2"/>
    <w:basedOn w:val="2"/>
    <w:next w:val="1"/>
    <w:qFormat/>
    <w:uiPriority w:val="0"/>
    <w:rPr>
      <w:rFonts w:eastAsia="黑体"/>
    </w:rPr>
  </w:style>
  <w:style w:type="character" w:customStyle="1" w:styleId="19">
    <w:name w:val="页眉 Char"/>
    <w:basedOn w:val="16"/>
    <w:link w:val="10"/>
    <w:qFormat/>
    <w:uiPriority w:val="0"/>
    <w:rPr>
      <w:rFonts w:asciiTheme="minorHAnsi" w:hAnsiTheme="minorHAnsi" w:eastAsiaTheme="minorEastAsia" w:cstheme="minorBidi"/>
      <w:kern w:val="2"/>
      <w:sz w:val="18"/>
      <w:szCs w:val="18"/>
    </w:rPr>
  </w:style>
  <w:style w:type="character" w:customStyle="1" w:styleId="20">
    <w:name w:val="页脚 Char"/>
    <w:basedOn w:val="16"/>
    <w:link w:val="9"/>
    <w:qFormat/>
    <w:uiPriority w:val="0"/>
    <w:rPr>
      <w:rFonts w:asciiTheme="minorHAnsi" w:hAnsiTheme="minorHAnsi" w:eastAsiaTheme="minorEastAsia" w:cstheme="minorBidi"/>
      <w:kern w:val="2"/>
      <w:sz w:val="18"/>
      <w:szCs w:val="18"/>
    </w:rPr>
  </w:style>
  <w:style w:type="character" w:customStyle="1" w:styleId="21">
    <w:name w:val="标题 Char"/>
    <w:basedOn w:val="16"/>
    <w:link w:val="12"/>
    <w:qFormat/>
    <w:uiPriority w:val="0"/>
    <w:rPr>
      <w:rFonts w:asciiTheme="majorHAnsi" w:hAnsiTheme="majorHAnsi" w:cstheme="majorBidi"/>
      <w:b/>
      <w:bCs/>
      <w:kern w:val="2"/>
      <w:sz w:val="32"/>
      <w:szCs w:val="32"/>
    </w:rPr>
  </w:style>
  <w:style w:type="paragraph" w:styleId="22">
    <w:name w:val="List Paragraph"/>
    <w:basedOn w:val="1"/>
    <w:unhideWhenUsed/>
    <w:qFormat/>
    <w:uiPriority w:val="99"/>
    <w:pPr>
      <w:ind w:firstLine="420" w:firstLineChars="200"/>
    </w:pPr>
  </w:style>
  <w:style w:type="paragraph" w:customStyle="1" w:styleId="23">
    <w:name w:val="null3"/>
    <w:hidden/>
    <w:qFormat/>
    <w:uiPriority w:val="0"/>
    <w:rPr>
      <w:rFonts w:hint="eastAsia" w:asciiTheme="minorHAnsi" w:hAnsiTheme="minorHAnsi" w:eastAsiaTheme="minorEastAsia" w:cstheme="minorBidi"/>
      <w:kern w:val="0"/>
      <w:sz w:val="20"/>
      <w:szCs w:val="20"/>
      <w:lang w:val="en-US" w:eastAsia="zh-CN" w:bidi="ar-SA"/>
    </w:rPr>
  </w:style>
  <w:style w:type="paragraph" w:customStyle="1" w:styleId="24">
    <w:name w:val="表格文本"/>
    <w:basedOn w:val="1"/>
    <w:qFormat/>
    <w:uiPriority w:val="0"/>
    <w:pPr>
      <w:spacing w:line="288" w:lineRule="auto"/>
      <w:ind w:right="50" w:rightChars="50" w:firstLine="0" w:firstLineChars="0"/>
      <w:textAlignment w:val="center"/>
    </w:pPr>
    <w:rPr>
      <w:sz w:val="21"/>
      <w:szCs w:val="20"/>
    </w:rPr>
  </w:style>
  <w:style w:type="paragraph" w:customStyle="1" w:styleId="25">
    <w:name w:val="正文 New New New New"/>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4414</Words>
  <Characters>5087</Characters>
  <Lines>28</Lines>
  <Paragraphs>8</Paragraphs>
  <TotalTime>1</TotalTime>
  <ScaleCrop>false</ScaleCrop>
  <LinksUpToDate>false</LinksUpToDate>
  <CharactersWithSpaces>5225</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2020-12-03T07:18:00Z</dcterms:created>
  <dc:creator>68849</dc:creator>
  <cp:lastModifiedBy>慕客</cp:lastModifiedBy>
  <cp:lastPrinted>2024-07-21T16:00:00Z</cp:lastPrinted>
  <dcterms:modified xsi:type="dcterms:W3CDTF">2025-06-23T15:30:13Z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B75F97C4905D4FD98C1D6AE9A2FF3ADA</vt:lpwstr>
  </property>
</Properties>
</file>