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EA2" w:rsidRPr="006D4E2A" w:rsidRDefault="003D1E76" w:rsidP="006D4E2A">
      <w:pPr>
        <w:overflowPunct w:val="0"/>
        <w:ind w:firstLineChars="0" w:firstLine="0"/>
        <w:jc w:val="center"/>
        <w:rPr>
          <w:rFonts w:ascii="方正小标宋简体" w:eastAsia="方正小标宋简体" w:hAnsi="华文楷体" w:cs="华文楷体"/>
          <w:bCs/>
          <w:sz w:val="44"/>
          <w:szCs w:val="44"/>
        </w:rPr>
      </w:pPr>
      <w:bookmarkStart w:id="0" w:name="_Toc7687"/>
      <w:bookmarkStart w:id="1" w:name="_Toc221774262"/>
      <w:bookmarkStart w:id="2" w:name="_Toc17909"/>
      <w:r w:rsidRPr="006D4E2A">
        <w:rPr>
          <w:rFonts w:ascii="方正小标宋简体" w:eastAsia="方正小标宋简体" w:hAnsi="华文楷体" w:cs="华文楷体" w:hint="eastAsia"/>
          <w:bCs/>
          <w:sz w:val="44"/>
          <w:szCs w:val="44"/>
        </w:rPr>
        <w:t>永春县美岭智慧产业园区项目</w:t>
      </w:r>
    </w:p>
    <w:p w:rsidR="001D0EA2" w:rsidRPr="006D4E2A" w:rsidRDefault="003D1E76" w:rsidP="006D4E2A">
      <w:pPr>
        <w:overflowPunct w:val="0"/>
        <w:ind w:firstLineChars="0" w:firstLine="0"/>
        <w:jc w:val="center"/>
        <w:rPr>
          <w:rFonts w:ascii="方正小标宋简体" w:eastAsia="方正小标宋简体"/>
          <w:sz w:val="44"/>
          <w:szCs w:val="44"/>
        </w:rPr>
      </w:pPr>
      <w:r w:rsidRPr="006D4E2A">
        <w:rPr>
          <w:rFonts w:ascii="方正小标宋简体" w:eastAsia="方正小标宋简体" w:hAnsi="华文楷体" w:cs="华文楷体" w:hint="eastAsia"/>
          <w:bCs/>
          <w:sz w:val="44"/>
          <w:szCs w:val="44"/>
        </w:rPr>
        <w:t>土地征收成片开发方案</w:t>
      </w:r>
      <w:bookmarkStart w:id="3" w:name="_Toc1567"/>
      <w:r w:rsidR="00CD092E" w:rsidRPr="00CD092E">
        <w:rPr>
          <w:rFonts w:ascii="方正小标宋简体" w:eastAsia="方正小标宋简体" w:hAnsi="华文楷体" w:cs="华文楷体" w:hint="eastAsia"/>
          <w:bCs/>
          <w:sz w:val="44"/>
          <w:szCs w:val="44"/>
        </w:rPr>
        <w:t>（征求意见稿）</w:t>
      </w:r>
    </w:p>
    <w:p w:rsidR="001D0EA2" w:rsidRDefault="003D1E76" w:rsidP="006D4E2A">
      <w:pPr>
        <w:pStyle w:val="1"/>
        <w:overflowPunct w:val="0"/>
        <w:spacing w:line="560" w:lineRule="exact"/>
      </w:pPr>
      <w:bookmarkStart w:id="4" w:name="_Toc24755"/>
      <w:bookmarkEnd w:id="0"/>
      <w:bookmarkEnd w:id="1"/>
      <w:bookmarkEnd w:id="2"/>
      <w:bookmarkEnd w:id="3"/>
      <w:r>
        <w:rPr>
          <w:rFonts w:hint="eastAsia"/>
        </w:rPr>
        <w:t>一、编制依据</w:t>
      </w:r>
      <w:bookmarkEnd w:id="4"/>
    </w:p>
    <w:p w:rsidR="001D0EA2" w:rsidRDefault="003D1E76" w:rsidP="006D4E2A">
      <w:pPr>
        <w:overflowPunct w:val="0"/>
      </w:pPr>
      <w:r>
        <w:rPr>
          <w:rFonts w:hint="eastAsia"/>
        </w:rPr>
        <w:t>根据《自然资源部关于印发</w:t>
      </w:r>
      <w:r>
        <w:rPr>
          <w:rFonts w:hint="eastAsia"/>
        </w:rPr>
        <w:t>&lt;</w:t>
      </w:r>
      <w:r>
        <w:rPr>
          <w:rFonts w:hint="eastAsia"/>
        </w:rPr>
        <w:t>土地征收成片开发标准（试行）</w:t>
      </w:r>
      <w:r>
        <w:rPr>
          <w:rFonts w:hint="eastAsia"/>
        </w:rPr>
        <w:t>&gt;</w:t>
      </w:r>
      <w:r>
        <w:rPr>
          <w:rFonts w:hint="eastAsia"/>
        </w:rPr>
        <w:t>的通知》（自然资规〔</w:t>
      </w:r>
      <w:r>
        <w:rPr>
          <w:rFonts w:hint="eastAsia"/>
        </w:rPr>
        <w:t>2020</w:t>
      </w:r>
      <w:r>
        <w:rPr>
          <w:rFonts w:hint="eastAsia"/>
        </w:rPr>
        <w:t>〕</w:t>
      </w:r>
      <w:r>
        <w:rPr>
          <w:rFonts w:hint="eastAsia"/>
        </w:rPr>
        <w:t>5</w:t>
      </w:r>
      <w:r>
        <w:rPr>
          <w:rFonts w:hint="eastAsia"/>
        </w:rPr>
        <w:t>号）、《福建省自然资源厅关于印发</w:t>
      </w:r>
      <w:r>
        <w:rPr>
          <w:rFonts w:hint="eastAsia"/>
        </w:rPr>
        <w:t>&lt;</w:t>
      </w:r>
      <w:r>
        <w:rPr>
          <w:rFonts w:hint="eastAsia"/>
        </w:rPr>
        <w:t>福建省土地征收成片开发方案报批实施细则（试行）</w:t>
      </w:r>
      <w:r>
        <w:rPr>
          <w:rFonts w:hint="eastAsia"/>
        </w:rPr>
        <w:t>&gt;</w:t>
      </w:r>
      <w:r>
        <w:rPr>
          <w:rFonts w:hint="eastAsia"/>
        </w:rPr>
        <w:t>的通知》（闽自然资发〔</w:t>
      </w:r>
      <w:r>
        <w:rPr>
          <w:rFonts w:hint="eastAsia"/>
        </w:rPr>
        <w:t>2021</w:t>
      </w:r>
      <w:r>
        <w:rPr>
          <w:rFonts w:hint="eastAsia"/>
        </w:rPr>
        <w:t>〕</w:t>
      </w:r>
      <w:r>
        <w:rPr>
          <w:rFonts w:hint="eastAsia"/>
        </w:rPr>
        <w:t>3</w:t>
      </w:r>
      <w:r>
        <w:rPr>
          <w:rFonts w:hint="eastAsia"/>
        </w:rPr>
        <w:t>号）、《福建省土地征收成片开发方案编制参考指南（试行）》（闽自然资发〔</w:t>
      </w:r>
      <w:r>
        <w:rPr>
          <w:rFonts w:hint="eastAsia"/>
        </w:rPr>
        <w:t>2021</w:t>
      </w:r>
      <w:r>
        <w:rPr>
          <w:rFonts w:hint="eastAsia"/>
        </w:rPr>
        <w:t>〕</w:t>
      </w:r>
      <w:r>
        <w:rPr>
          <w:rFonts w:hint="eastAsia"/>
        </w:rPr>
        <w:t>6</w:t>
      </w:r>
      <w:r>
        <w:rPr>
          <w:rFonts w:hint="eastAsia"/>
        </w:rPr>
        <w:t>号）以及</w:t>
      </w:r>
      <w:bookmarkStart w:id="5" w:name="_Toc1488368762"/>
      <w:bookmarkStart w:id="6" w:name="_Toc16931"/>
      <w:bookmarkStart w:id="7" w:name="_Toc1391"/>
      <w:r>
        <w:rPr>
          <w:rFonts w:hint="eastAsia"/>
        </w:rPr>
        <w:t>永春县现行国民经济和社会发展计划、年度计划</w:t>
      </w:r>
      <w:r w:rsidRPr="006D4E2A">
        <w:rPr>
          <w:rFonts w:hint="eastAsia"/>
        </w:rPr>
        <w:t>等和其他相关规划及法律法规，组织编制本方案。</w:t>
      </w:r>
    </w:p>
    <w:p w:rsidR="001D0EA2" w:rsidRDefault="003D1E76" w:rsidP="006D4E2A">
      <w:pPr>
        <w:pStyle w:val="1"/>
        <w:overflowPunct w:val="0"/>
        <w:spacing w:line="560" w:lineRule="exact"/>
      </w:pPr>
      <w:bookmarkStart w:id="8" w:name="_Toc23784"/>
      <w:bookmarkStart w:id="9" w:name="_Toc15900"/>
      <w:bookmarkStart w:id="10" w:name="_Toc23019"/>
      <w:bookmarkStart w:id="11" w:name="_Toc90282133"/>
      <w:bookmarkEnd w:id="5"/>
      <w:bookmarkEnd w:id="6"/>
      <w:bookmarkEnd w:id="7"/>
      <w:r>
        <w:rPr>
          <w:rFonts w:hint="eastAsia"/>
        </w:rPr>
        <w:t>二、基本情况</w:t>
      </w:r>
      <w:bookmarkEnd w:id="8"/>
      <w:bookmarkEnd w:id="9"/>
      <w:bookmarkEnd w:id="10"/>
      <w:bookmarkEnd w:id="11"/>
    </w:p>
    <w:p w:rsidR="001D0EA2" w:rsidRDefault="003D1E76" w:rsidP="006D4E2A">
      <w:pPr>
        <w:overflowPunct w:val="0"/>
      </w:pPr>
      <w:r w:rsidRPr="006D4E2A">
        <w:t>方案项目区</w:t>
      </w:r>
      <w:r>
        <w:t>位于永春县</w:t>
      </w:r>
      <w:bookmarkStart w:id="12" w:name="_Hlk77925580"/>
      <w:r>
        <w:rPr>
          <w:rFonts w:hint="eastAsia"/>
        </w:rPr>
        <w:t>桃城镇德风社区中部</w:t>
      </w:r>
      <w:r>
        <w:t>，</w:t>
      </w:r>
      <w:r>
        <w:rPr>
          <w:rFonts w:hint="eastAsia"/>
        </w:rPr>
        <w:t>北临桃联社区与桃溪社区，西临和林村，东临榜德社区。</w:t>
      </w:r>
      <w:bookmarkStart w:id="13" w:name="_Hlk75331689"/>
      <w:bookmarkEnd w:id="12"/>
      <w:r>
        <w:t>本方案涉及永春县</w:t>
      </w:r>
      <w:r>
        <w:rPr>
          <w:rFonts w:hint="eastAsia"/>
        </w:rPr>
        <w:t>桃城镇德风社区</w:t>
      </w:r>
      <w:r>
        <w:t>，共</w:t>
      </w:r>
      <w:r>
        <w:rPr>
          <w:rFonts w:hint="eastAsia"/>
        </w:rPr>
        <w:t>1</w:t>
      </w:r>
      <w:r>
        <w:t>个镇</w:t>
      </w:r>
      <w:r>
        <w:rPr>
          <w:rFonts w:hint="eastAsia"/>
        </w:rPr>
        <w:t>1</w:t>
      </w:r>
      <w:r>
        <w:t>个</w:t>
      </w:r>
      <w:r>
        <w:rPr>
          <w:rFonts w:hint="eastAsia"/>
        </w:rPr>
        <w:t>社区</w:t>
      </w:r>
      <w:r>
        <w:t>；</w:t>
      </w:r>
      <w:r>
        <w:rPr>
          <w:rFonts w:hint="eastAsia"/>
        </w:rPr>
        <w:t>不</w:t>
      </w:r>
      <w:r>
        <w:t>涉及省级</w:t>
      </w:r>
      <w:r>
        <w:rPr>
          <w:rFonts w:hint="eastAsia"/>
        </w:rPr>
        <w:t>和国家级</w:t>
      </w:r>
      <w:r>
        <w:t>开发区</w:t>
      </w:r>
      <w:r>
        <w:rPr>
          <w:rFonts w:hint="eastAsia"/>
        </w:rPr>
        <w:t>。</w:t>
      </w:r>
      <w:r>
        <w:t>根据实地勘测调查，本方案成片开发范围总面积</w:t>
      </w:r>
      <w:r>
        <w:rPr>
          <w:rFonts w:hint="eastAsia"/>
        </w:rPr>
        <w:t>4.2444</w:t>
      </w:r>
      <w:r>
        <w:t>公顷。其中：</w:t>
      </w:r>
      <w:bookmarkEnd w:id="13"/>
      <w:r>
        <w:t>农用地</w:t>
      </w:r>
      <w:r>
        <w:rPr>
          <w:rFonts w:hint="eastAsia"/>
        </w:rPr>
        <w:t>1.1686</w:t>
      </w:r>
      <w:r>
        <w:t>公顷（耕地</w:t>
      </w:r>
      <w:r>
        <w:rPr>
          <w:rFonts w:hint="eastAsia"/>
        </w:rPr>
        <w:t>0.1814</w:t>
      </w:r>
      <w:r>
        <w:t>公顷），建设用地</w:t>
      </w:r>
      <w:r>
        <w:rPr>
          <w:rFonts w:hint="eastAsia"/>
        </w:rPr>
        <w:t>3.0758</w:t>
      </w:r>
      <w:r>
        <w:t>公顷，</w:t>
      </w:r>
      <w:r>
        <w:rPr>
          <w:rFonts w:hint="eastAsia"/>
        </w:rPr>
        <w:t>无</w:t>
      </w:r>
      <w:r>
        <w:t>未利用</w:t>
      </w:r>
      <w:r>
        <w:rPr>
          <w:rFonts w:hint="eastAsia"/>
        </w:rPr>
        <w:t>土地</w:t>
      </w:r>
      <w:r>
        <w:t>。</w:t>
      </w:r>
    </w:p>
    <w:p w:rsidR="001D0EA2" w:rsidRDefault="003D1E76" w:rsidP="007B430C">
      <w:pPr>
        <w:pStyle w:val="1"/>
        <w:overflowPunct w:val="0"/>
        <w:spacing w:line="560" w:lineRule="exact"/>
      </w:pPr>
      <w:bookmarkStart w:id="14" w:name="_Toc25383"/>
      <w:bookmarkStart w:id="15" w:name="_Toc19435"/>
      <w:bookmarkStart w:id="16" w:name="_Toc20555"/>
      <w:bookmarkStart w:id="17" w:name="_Toc416439689"/>
      <w:r>
        <w:rPr>
          <w:rFonts w:hint="eastAsia"/>
        </w:rPr>
        <w:t>三、必要性</w:t>
      </w:r>
      <w:bookmarkEnd w:id="14"/>
      <w:bookmarkEnd w:id="15"/>
      <w:bookmarkEnd w:id="16"/>
      <w:bookmarkEnd w:id="17"/>
    </w:p>
    <w:p w:rsidR="001D0EA2" w:rsidRDefault="003D1E76" w:rsidP="006D4E2A">
      <w:pPr>
        <w:pStyle w:val="3"/>
        <w:overflowPunct w:val="0"/>
        <w:spacing w:line="560" w:lineRule="exact"/>
        <w:ind w:firstLine="643"/>
      </w:pPr>
      <w:r>
        <w:rPr>
          <w:rFonts w:hint="eastAsia"/>
        </w:rPr>
        <w:t>1.</w:t>
      </w:r>
      <w:r>
        <w:rPr>
          <w:rFonts w:hint="eastAsia"/>
        </w:rPr>
        <w:t>贯彻落实规划，满足提升地方产业基础的需求</w:t>
      </w:r>
    </w:p>
    <w:p w:rsidR="001D0EA2" w:rsidRDefault="003D1E76" w:rsidP="006D4E2A">
      <w:pPr>
        <w:overflowPunct w:val="0"/>
      </w:pPr>
      <w:r>
        <w:rPr>
          <w:rFonts w:hint="eastAsia"/>
        </w:rPr>
        <w:t>永春县地处内陆山区，与沿海城市相比缺乏交通优势，与周边县区相比，产业呈“多、杂、散、弱”的现状，企业体量较小，传统产业比重大且缺乏现代化、规模化新型业态，对于永春县而言这既是挑战也是机遇。</w:t>
      </w:r>
    </w:p>
    <w:p w:rsidR="001D0EA2" w:rsidRDefault="003D1E76" w:rsidP="006D4E2A">
      <w:pPr>
        <w:overflowPunct w:val="0"/>
      </w:pPr>
      <w:r>
        <w:rPr>
          <w:rFonts w:hint="eastAsia"/>
        </w:rPr>
        <w:t>本项目拟打造一个集传统制造产业与数字平台相结合</w:t>
      </w:r>
      <w:r>
        <w:rPr>
          <w:rFonts w:hint="eastAsia"/>
        </w:rPr>
        <w:lastRenderedPageBreak/>
        <w:t>的综合园区。项目能够为传统产业提供技术、场地、与市场营销等多方面的支持。众所周知永春县传统产业有三大特色支柱，分别是香、醋、瓷产业。目前永春县有香厂</w:t>
      </w:r>
      <w:r>
        <w:rPr>
          <w:rFonts w:hint="eastAsia"/>
        </w:rPr>
        <w:t>300</w:t>
      </w:r>
      <w:r>
        <w:rPr>
          <w:rFonts w:hint="eastAsia"/>
        </w:rPr>
        <w:t>多家；陶瓷相关企业、作坊近</w:t>
      </w:r>
      <w:r>
        <w:rPr>
          <w:rFonts w:hint="eastAsia"/>
        </w:rPr>
        <w:t>200</w:t>
      </w:r>
      <w:r>
        <w:rPr>
          <w:rFonts w:hint="eastAsia"/>
        </w:rPr>
        <w:t>家；永春老醋制作由于工艺复杂与周期较长，导致产业规模也较小。除上述三个支柱产业外，还有许多其他的微小企业情况也与之类似。这么多的小体量企业由于缺乏合适的厂房与技术支持，导致他们呈现“多、散、杂、弱”的现状。倘若能够将他们整合聚集，并且提供技术与设备支持，进行统一管理，就能形成一定规模的产业园区，形成“多、聚、精、强”的产业新格局，从而在一定程度上改变地方现状产业基础薄弱的缺点，将其转变为未来产业发展一种机遇。永春县“十四五”规划提出</w:t>
      </w:r>
      <w:r>
        <w:rPr>
          <w:rFonts w:ascii="Times New Roman" w:hAnsi="Times New Roman"/>
        </w:rPr>
        <w:t>盘活存量工业用地和厂房，探索</w:t>
      </w:r>
      <w:r>
        <w:rPr>
          <w:rFonts w:ascii="Times New Roman" w:hAnsi="Times New Roman"/>
        </w:rPr>
        <w:t>“</w:t>
      </w:r>
      <w:r>
        <w:rPr>
          <w:rFonts w:ascii="Times New Roman" w:hAnsi="Times New Roman"/>
        </w:rPr>
        <w:t>一区多园</w:t>
      </w:r>
      <w:r>
        <w:rPr>
          <w:rFonts w:ascii="Times New Roman" w:hAnsi="Times New Roman"/>
        </w:rPr>
        <w:t>”</w:t>
      </w:r>
      <w:r>
        <w:rPr>
          <w:rFonts w:ascii="Times New Roman" w:hAnsi="Times New Roman"/>
        </w:rPr>
        <w:t>产业布局新模式。</w:t>
      </w:r>
      <w:r>
        <w:rPr>
          <w:rFonts w:ascii="Times New Roman" w:hAnsi="Times New Roman" w:hint="eastAsia"/>
        </w:rPr>
        <w:t>本项目的建设符合</w:t>
      </w:r>
      <w:r>
        <w:rPr>
          <w:rFonts w:hint="eastAsia"/>
        </w:rPr>
        <w:t>永春县“十四五”规划园区整合发展理念，项目建成后能够在一定程度上调动当地产业活力，</w:t>
      </w:r>
      <w:r>
        <w:t>有利于激发片区的发</w:t>
      </w:r>
      <w:r>
        <w:rPr>
          <w:rFonts w:hint="eastAsia"/>
        </w:rPr>
        <w:t>展潜力，带动区域土地市场，满足永春县社会经济发展的切实需求。</w:t>
      </w:r>
    </w:p>
    <w:p w:rsidR="001D0EA2" w:rsidRDefault="003D1E76" w:rsidP="006D4E2A">
      <w:pPr>
        <w:pStyle w:val="3"/>
        <w:overflowPunct w:val="0"/>
        <w:spacing w:line="560" w:lineRule="exact"/>
        <w:ind w:firstLine="643"/>
      </w:pPr>
      <w:r>
        <w:rPr>
          <w:rFonts w:hint="eastAsia"/>
        </w:rPr>
        <w:t>2.</w:t>
      </w:r>
      <w:r>
        <w:t>有利于促进产业集聚，</w:t>
      </w:r>
      <w:r>
        <w:rPr>
          <w:rFonts w:hint="eastAsia"/>
        </w:rPr>
        <w:t>促进园区综合发展。</w:t>
      </w:r>
    </w:p>
    <w:p w:rsidR="001D0EA2" w:rsidRDefault="003D1E76" w:rsidP="006D4E2A">
      <w:r>
        <w:rPr>
          <w:rFonts w:hint="eastAsia"/>
        </w:rPr>
        <w:t>本方案位于探花山·榜德工业园区的西侧，方案北临生物医药产业园，周边企业众多。一直以来，小微企业都是泉州民营经济重要的组成部分，是泉州高速发展的有生力量。但微小的体量也让他们无力抵抗市场的风险，生存越发艰难。特别是厂房所限企业无法扩容、形象不佳招工困难、生产办公仓储混乱等问题，困扰着小微企业的发展，令小微企业裹</w:t>
      </w:r>
      <w:r>
        <w:rPr>
          <w:rFonts w:hint="eastAsia"/>
        </w:rPr>
        <w:lastRenderedPageBreak/>
        <w:t>步不前。巨大产业规模，多重产业结构，特色产业的聚集，小微企业的需求，美岭智慧产业园孕育而生。</w:t>
      </w:r>
    </w:p>
    <w:p w:rsidR="001D0EA2" w:rsidRDefault="003D1E76" w:rsidP="006D4E2A">
      <w:r>
        <w:rPr>
          <w:rFonts w:hint="eastAsia"/>
        </w:rPr>
        <w:t>此方案</w:t>
      </w:r>
      <w:r>
        <w:t>将建立技术、市场、专业、投资、人事五大赋能体系，</w:t>
      </w:r>
      <w:r>
        <w:rPr>
          <w:rFonts w:hint="eastAsia"/>
        </w:rPr>
        <w:t>综合性高，</w:t>
      </w:r>
      <w:r>
        <w:t>帮助园区在信息化方面建立统一的组织管理协调架构，业务管理平台和对内对外服务运营平台。将相关资源形成紧密联系的整体，获得高效、协同、互动的的整体效益。</w:t>
      </w:r>
      <w:r>
        <w:rPr>
          <w:rFonts w:hint="eastAsia"/>
        </w:rPr>
        <w:t>能够为传统制造企业提供发展平台和技术支持，能够满足不同企业的投资需求，</w:t>
      </w:r>
      <w:r>
        <w:t>构建园区智能生态圈，体量巨大，可供百家企业同时入驻园区，集聚效应呼之欲出。</w:t>
      </w:r>
    </w:p>
    <w:p w:rsidR="001D0EA2" w:rsidRDefault="003D1E76" w:rsidP="006D4E2A">
      <w:pPr>
        <w:pStyle w:val="3"/>
        <w:overflowPunct w:val="0"/>
        <w:spacing w:line="560" w:lineRule="exact"/>
        <w:ind w:firstLine="643"/>
      </w:pPr>
      <w:r>
        <w:rPr>
          <w:rFonts w:hint="eastAsia"/>
        </w:rPr>
        <w:t>3.</w:t>
      </w:r>
      <w:r>
        <w:t>有利于提高用地质量，集约利用片区土地</w:t>
      </w:r>
    </w:p>
    <w:p w:rsidR="001D0EA2" w:rsidRDefault="003D1E76" w:rsidP="006D4E2A">
      <w:pPr>
        <w:overflowPunct w:val="0"/>
        <w:rPr>
          <w:rFonts w:eastAsia="方正仿宋_GB2312"/>
        </w:rPr>
      </w:pPr>
      <w:r>
        <w:rPr>
          <w:rFonts w:hint="eastAsia"/>
        </w:rPr>
        <w:t>永春县“十四五”规划指出：</w:t>
      </w:r>
      <w:r>
        <w:t>依据</w:t>
      </w:r>
      <w:r>
        <w:t>“</w:t>
      </w:r>
      <w:r>
        <w:t>生产空间集约高效、生活空间宜居适度、生态空间山清水秀</w:t>
      </w:r>
      <w:r>
        <w:t>”</w:t>
      </w:r>
      <w:r>
        <w:t>的原则，运用</w:t>
      </w:r>
      <w:r>
        <w:t>“</w:t>
      </w:r>
      <w:r>
        <w:t>产业新城</w:t>
      </w:r>
      <w:r>
        <w:t>”</w:t>
      </w:r>
      <w:r>
        <w:t>的规划理念，科学规划全区空间发展布局</w:t>
      </w:r>
      <w:r>
        <w:rPr>
          <w:rFonts w:hint="eastAsia"/>
        </w:rPr>
        <w:t>。</w:t>
      </w:r>
      <w:r>
        <w:t>整合用地资源条件和交通条件，严格控制增量工业项目入驻，盘活存量工业用地和厂房，探索</w:t>
      </w:r>
      <w:r>
        <w:t>“</w:t>
      </w:r>
      <w:r>
        <w:t>一区多园</w:t>
      </w:r>
      <w:r>
        <w:t>”</w:t>
      </w:r>
      <w:r>
        <w:t>产业布局新模式。</w:t>
      </w:r>
      <w:r>
        <w:rPr>
          <w:rFonts w:hint="eastAsia"/>
        </w:rPr>
        <w:t>本次成片开发方案面积为</w:t>
      </w:r>
      <w:r>
        <w:rPr>
          <w:rFonts w:hint="eastAsia"/>
        </w:rPr>
        <w:t>4.2444</w:t>
      </w:r>
      <w:r>
        <w:rPr>
          <w:rFonts w:hint="eastAsia"/>
        </w:rPr>
        <w:t>公顷，积极利用城中边角零星用地，</w:t>
      </w:r>
      <w:r>
        <w:t>合理布局，能够提高土地利用</w:t>
      </w:r>
      <w:r>
        <w:rPr>
          <w:rFonts w:hint="eastAsia"/>
        </w:rPr>
        <w:t>效率，推进土地节约集约利用。本次成片开发包括公益性用地</w:t>
      </w:r>
      <w:r>
        <w:rPr>
          <w:rFonts w:hint="eastAsia"/>
        </w:rPr>
        <w:t>2.3312</w:t>
      </w:r>
      <w:r>
        <w:rPr>
          <w:rFonts w:hint="eastAsia"/>
        </w:rPr>
        <w:t>公顷，提升了经济、社会、生态环境综合效益，为实施土地用途管制制度打下基础，为土地可持续利用和国民经济可持续、快速、健康发展创造条件。</w:t>
      </w:r>
    </w:p>
    <w:p w:rsidR="001D0EA2" w:rsidRDefault="003D1E76" w:rsidP="006D4E2A">
      <w:pPr>
        <w:pStyle w:val="1"/>
        <w:numPr>
          <w:ilvl w:val="0"/>
          <w:numId w:val="1"/>
        </w:numPr>
        <w:overflowPunct w:val="0"/>
        <w:spacing w:line="560" w:lineRule="exact"/>
      </w:pPr>
      <w:bookmarkStart w:id="18" w:name="_GoBack"/>
      <w:bookmarkStart w:id="19" w:name="_Toc21429"/>
      <w:bookmarkEnd w:id="18"/>
      <w:r>
        <w:rPr>
          <w:rFonts w:hint="eastAsia"/>
        </w:rPr>
        <w:t>主要用途、实现功能及公益性用地比例</w:t>
      </w:r>
      <w:bookmarkEnd w:id="19"/>
    </w:p>
    <w:p w:rsidR="001D0EA2" w:rsidRDefault="003D1E76" w:rsidP="006D4E2A">
      <w:pPr>
        <w:overflowPunct w:val="0"/>
      </w:pPr>
      <w:r>
        <w:t>本方案用地总面积</w:t>
      </w:r>
      <w:r>
        <w:rPr>
          <w:rFonts w:hint="eastAsia"/>
        </w:rPr>
        <w:t>4.2444</w:t>
      </w:r>
      <w:r>
        <w:t>公顷，主要用途为</w:t>
      </w:r>
      <w:r>
        <w:rPr>
          <w:rFonts w:hint="eastAsia"/>
        </w:rPr>
        <w:t>工矿用地</w:t>
      </w:r>
      <w:r>
        <w:t>。其</w:t>
      </w:r>
      <w:r>
        <w:rPr>
          <w:rFonts w:hint="eastAsia"/>
        </w:rPr>
        <w:t>中，工矿用地（全为</w:t>
      </w:r>
      <w:r>
        <w:t>工业用地</w:t>
      </w:r>
      <w:r>
        <w:rPr>
          <w:rFonts w:hint="eastAsia"/>
        </w:rPr>
        <w:t>）面积</w:t>
      </w:r>
      <w:r>
        <w:rPr>
          <w:rFonts w:hint="eastAsia"/>
        </w:rPr>
        <w:t>1.9132</w:t>
      </w:r>
      <w:r>
        <w:rPr>
          <w:rFonts w:hint="eastAsia"/>
        </w:rPr>
        <w:t>公顷，实现工</w:t>
      </w:r>
      <w:r>
        <w:rPr>
          <w:rFonts w:hint="eastAsia"/>
        </w:rPr>
        <w:lastRenderedPageBreak/>
        <w:t>业生产功能；城镇道路用地</w:t>
      </w:r>
      <w:r>
        <w:rPr>
          <w:rFonts w:hint="eastAsia"/>
        </w:rPr>
        <w:t>0.3877</w:t>
      </w:r>
      <w:r>
        <w:rPr>
          <w:rFonts w:hint="eastAsia"/>
        </w:rPr>
        <w:t>公顷，实现完善城镇交通系统功能；公路用地</w:t>
      </w:r>
      <w:r>
        <w:rPr>
          <w:rFonts w:hint="eastAsia"/>
        </w:rPr>
        <w:t>1.5866</w:t>
      </w:r>
      <w:r>
        <w:rPr>
          <w:rFonts w:hint="eastAsia"/>
        </w:rPr>
        <w:t>公顷，加强公共交通通达度；防护绿地</w:t>
      </w:r>
      <w:r>
        <w:rPr>
          <w:rFonts w:hint="eastAsia"/>
        </w:rPr>
        <w:t>0.3569</w:t>
      </w:r>
      <w:r>
        <w:rPr>
          <w:rFonts w:hint="eastAsia"/>
        </w:rPr>
        <w:t>公顷，实现绿化环境、美化环境、隔离噪音、减少污染、休憩娱乐功能。公益性用地有防护绿地</w:t>
      </w:r>
      <w:r>
        <w:rPr>
          <w:rFonts w:hint="eastAsia"/>
        </w:rPr>
        <w:t>0.3569</w:t>
      </w:r>
      <w:r>
        <w:rPr>
          <w:rFonts w:hint="eastAsia"/>
        </w:rPr>
        <w:t>公顷，城镇道路用地</w:t>
      </w:r>
      <w:r>
        <w:rPr>
          <w:rFonts w:hint="eastAsia"/>
        </w:rPr>
        <w:t>0.3877</w:t>
      </w:r>
      <w:r>
        <w:rPr>
          <w:rFonts w:hint="eastAsia"/>
        </w:rPr>
        <w:t>公顷，公路用地</w:t>
      </w:r>
      <w:r>
        <w:rPr>
          <w:rFonts w:hint="eastAsia"/>
        </w:rPr>
        <w:t>1.5866</w:t>
      </w:r>
      <w:r>
        <w:rPr>
          <w:rFonts w:hint="eastAsia"/>
        </w:rPr>
        <w:t>公顷，合计</w:t>
      </w:r>
      <w:r>
        <w:rPr>
          <w:rFonts w:hint="eastAsia"/>
        </w:rPr>
        <w:t>2.3312</w:t>
      </w:r>
      <w:r>
        <w:rPr>
          <w:rFonts w:hint="eastAsia"/>
        </w:rPr>
        <w:t>公顷，占用地总面积的</w:t>
      </w:r>
      <w:r>
        <w:rPr>
          <w:rFonts w:hint="eastAsia"/>
        </w:rPr>
        <w:t>54.92%</w:t>
      </w:r>
      <w:r>
        <w:t>。符合自然资规〔</w:t>
      </w:r>
      <w:r>
        <w:t>2020</w:t>
      </w:r>
      <w:r>
        <w:t>〕</w:t>
      </w:r>
      <w:r>
        <w:t>5</w:t>
      </w:r>
      <w:r>
        <w:t>号文规定。</w:t>
      </w:r>
    </w:p>
    <w:p w:rsidR="001D0EA2" w:rsidRDefault="003D1E76" w:rsidP="006D4E2A">
      <w:pPr>
        <w:pStyle w:val="1"/>
        <w:overflowPunct w:val="0"/>
        <w:spacing w:line="560" w:lineRule="exact"/>
      </w:pPr>
      <w:r>
        <w:rPr>
          <w:rFonts w:hint="eastAsia"/>
        </w:rPr>
        <w:t>五、效益评估</w:t>
      </w:r>
    </w:p>
    <w:p w:rsidR="001D0EA2" w:rsidRDefault="003D1E76" w:rsidP="006D4E2A">
      <w:pPr>
        <w:pStyle w:val="2"/>
        <w:overflowPunct w:val="0"/>
        <w:spacing w:line="560" w:lineRule="exact"/>
        <w:ind w:firstLine="641"/>
      </w:pPr>
      <w:bookmarkStart w:id="20" w:name="_Toc21676"/>
      <w:bookmarkStart w:id="21" w:name="_Toc19427"/>
      <w:r>
        <w:rPr>
          <w:rFonts w:hint="eastAsia"/>
        </w:rPr>
        <w:t>（一）土地利用效益</w:t>
      </w:r>
      <w:bookmarkEnd w:id="20"/>
      <w:bookmarkEnd w:id="21"/>
    </w:p>
    <w:p w:rsidR="001D0EA2" w:rsidRDefault="003D1E76" w:rsidP="006D4E2A">
      <w:pPr>
        <w:overflowPunct w:val="0"/>
      </w:pPr>
      <w:r>
        <w:rPr>
          <w:rFonts w:hint="eastAsia"/>
        </w:rPr>
        <w:t>本方案通过合理安排用地规模、结构和布局，灵活开发城中边角零星用地，提高土地利用效率，有利于城市公用配套设施建设的集约使用，充分发挥城市的集聚效益，从而有效节约稀缺的土地资源，促进土地资源的合理利用，缓解土地供给紧张的问题。</w:t>
      </w:r>
    </w:p>
    <w:p w:rsidR="001D0EA2" w:rsidRDefault="003D1E76" w:rsidP="006D4E2A">
      <w:pPr>
        <w:overflowPunct w:val="0"/>
      </w:pPr>
      <w:r>
        <w:rPr>
          <w:rFonts w:hint="eastAsia"/>
        </w:rPr>
        <w:t>通过合理利用城市边角地块，充分发挥土地潜在价值。本方案用地面积</w:t>
      </w:r>
      <w:r>
        <w:rPr>
          <w:rFonts w:hint="eastAsia"/>
        </w:rPr>
        <w:t>4.2444</w:t>
      </w:r>
      <w:r>
        <w:rPr>
          <w:rFonts w:hint="eastAsia"/>
        </w:rPr>
        <w:t>公顷，工业用地容积率不低于</w:t>
      </w:r>
      <w:r>
        <w:rPr>
          <w:rFonts w:hint="eastAsia"/>
        </w:rPr>
        <w:t>1.1</w:t>
      </w:r>
      <w:r>
        <w:rPr>
          <w:rFonts w:hint="eastAsia"/>
        </w:rPr>
        <w:t>，建筑系数不低于</w:t>
      </w:r>
      <w:r>
        <w:rPr>
          <w:rFonts w:hint="eastAsia"/>
        </w:rPr>
        <w:t>40%</w:t>
      </w:r>
      <w:r>
        <w:rPr>
          <w:rFonts w:hint="eastAsia"/>
        </w:rPr>
        <w:t>。实施范围内预计开发投资强度为</w:t>
      </w:r>
      <w:r>
        <w:rPr>
          <w:rFonts w:hint="eastAsia"/>
        </w:rPr>
        <w:t>220</w:t>
      </w:r>
      <w:r>
        <w:t>万元</w:t>
      </w:r>
      <w:r>
        <w:t>/</w:t>
      </w:r>
      <w:r>
        <w:rPr>
          <w:rFonts w:hint="eastAsia"/>
        </w:rPr>
        <w:t>亩</w:t>
      </w:r>
      <w:r>
        <w:t>，将有效提升土地使用效益。</w:t>
      </w:r>
      <w:r>
        <w:rPr>
          <w:rFonts w:hint="eastAsia"/>
        </w:rPr>
        <w:t>方案</w:t>
      </w:r>
      <w:r>
        <w:t>园区规划高标准厂房、企业总部大楼、专家楼、电商楼、写字楼和宿舍楼，并从企业实际应用出发，设计多种厂房，兼容多重功能，提升整个</w:t>
      </w:r>
      <w:r>
        <w:rPr>
          <w:rFonts w:hint="eastAsia"/>
        </w:rPr>
        <w:t>园区</w:t>
      </w:r>
      <w:r>
        <w:t>建设用地的集约利用水平。</w:t>
      </w:r>
      <w:r>
        <w:t xml:space="preserve"> </w:t>
      </w:r>
    </w:p>
    <w:p w:rsidR="001D0EA2" w:rsidRDefault="003D1E76" w:rsidP="006D4E2A">
      <w:pPr>
        <w:pStyle w:val="2"/>
        <w:overflowPunct w:val="0"/>
        <w:spacing w:line="560" w:lineRule="exact"/>
        <w:ind w:leftChars="200" w:left="640" w:firstLineChars="0" w:firstLine="0"/>
      </w:pPr>
      <w:bookmarkStart w:id="22" w:name="_Toc13396"/>
      <w:bookmarkStart w:id="23" w:name="_Toc30219"/>
      <w:r>
        <w:rPr>
          <w:rFonts w:hint="eastAsia"/>
        </w:rPr>
        <w:t>（二）社会效益</w:t>
      </w:r>
      <w:bookmarkEnd w:id="22"/>
      <w:bookmarkEnd w:id="23"/>
    </w:p>
    <w:p w:rsidR="00215072" w:rsidRDefault="00215072" w:rsidP="006D4E2A">
      <w:pPr>
        <w:overflowPunct w:val="0"/>
      </w:pPr>
      <w:bookmarkStart w:id="24" w:name="_Toc19612"/>
      <w:r>
        <w:rPr>
          <w:rFonts w:hint="eastAsia"/>
        </w:rPr>
        <w:t>此方案所打造的美岭智慧产业园区是一个集多功能合一的综合性数字产业园区，能够提供大量就业岗位，带动城</w:t>
      </w:r>
      <w:r>
        <w:rPr>
          <w:rFonts w:hint="eastAsia"/>
        </w:rPr>
        <w:lastRenderedPageBreak/>
        <w:t>市经济发展，并且其优秀的集聚效应能够吸引企业入驻。片区位于探花山·榜德工业园西侧，项目实施后能够通过其“智慧”这一数字属性带动传统企业发展，</w:t>
      </w:r>
      <w:r>
        <w:t>优化产业布局结构，</w:t>
      </w:r>
      <w:r>
        <w:rPr>
          <w:rFonts w:hint="eastAsia"/>
        </w:rPr>
        <w:t>进一步提高园区产能，吸引投资与优秀人才，提升整个园区的发展进步。</w:t>
      </w:r>
    </w:p>
    <w:p w:rsidR="001D0EA2" w:rsidRDefault="00215072" w:rsidP="006D4E2A">
      <w:pPr>
        <w:pStyle w:val="2"/>
        <w:overflowPunct w:val="0"/>
        <w:spacing w:line="560" w:lineRule="exact"/>
        <w:ind w:firstLine="641"/>
      </w:pPr>
      <w:bookmarkStart w:id="25" w:name="_Toc32758"/>
      <w:r>
        <w:rPr>
          <w:rFonts w:hint="eastAsia"/>
        </w:rPr>
        <w:t>（三）经济效益</w:t>
      </w:r>
      <w:bookmarkEnd w:id="24"/>
      <w:bookmarkEnd w:id="25"/>
    </w:p>
    <w:p w:rsidR="001D0EA2" w:rsidRDefault="003D1E76" w:rsidP="006D4E2A">
      <w:pPr>
        <w:overflowPunct w:val="0"/>
        <w:rPr>
          <w:color w:val="FF0000"/>
        </w:rPr>
      </w:pPr>
      <w:r>
        <w:rPr>
          <w:rFonts w:hint="eastAsia"/>
        </w:rPr>
        <w:t>2021</w:t>
      </w:r>
      <w:r>
        <w:rPr>
          <w:rFonts w:hint="eastAsia"/>
        </w:rPr>
        <w:t>年，</w:t>
      </w:r>
      <w:r>
        <w:t>永春县地区生产总值</w:t>
      </w:r>
      <w:r>
        <w:t>541.23</w:t>
      </w:r>
      <w:r>
        <w:t>亿元，比上年增长</w:t>
      </w:r>
      <w:r>
        <w:t>6.1%</w:t>
      </w:r>
      <w:r>
        <w:t>。其中，</w:t>
      </w:r>
      <w:r>
        <w:rPr>
          <w:rFonts w:hint="eastAsia"/>
        </w:rPr>
        <w:t>工业对经济增长的贡献率达</w:t>
      </w:r>
      <w:r>
        <w:rPr>
          <w:rFonts w:hint="eastAsia"/>
        </w:rPr>
        <w:t>55.0%</w:t>
      </w:r>
      <w:r>
        <w:rPr>
          <w:rFonts w:hint="eastAsia"/>
        </w:rPr>
        <w:t>。本次成片开发方案的主要用途就是工业生产，项目实施后能够在带动传统产业发展的同时，融入“智慧”这一数字理念，引导激发出入驻企业的潜在价值，由制造转为智造，提高园区的生产效率并且控制生产成本。根据永春县土地集约利用资料，永春县工业用地年地均税收约为</w:t>
      </w:r>
      <w:r>
        <w:rPr>
          <w:rFonts w:hint="eastAsia"/>
        </w:rPr>
        <w:t>15.35</w:t>
      </w:r>
      <w:r>
        <w:t>万元</w:t>
      </w:r>
      <w:r>
        <w:t>/</w:t>
      </w:r>
      <w:r>
        <w:rPr>
          <w:rFonts w:hint="eastAsia"/>
        </w:rPr>
        <w:t>亩</w:t>
      </w:r>
      <w:r>
        <w:t>，本</w:t>
      </w:r>
      <w:r>
        <w:rPr>
          <w:rFonts w:hint="eastAsia"/>
        </w:rPr>
        <w:t>成片开发</w:t>
      </w:r>
      <w:r>
        <w:t>方案范围内工业用地</w:t>
      </w:r>
      <w:r>
        <w:rPr>
          <w:rFonts w:hint="eastAsia"/>
        </w:rPr>
        <w:t>2</w:t>
      </w:r>
      <w:r>
        <w:rPr>
          <w:rFonts w:hint="eastAsia"/>
        </w:rPr>
        <w:t>宗</w:t>
      </w:r>
      <w:r>
        <w:rPr>
          <w:rFonts w:hint="eastAsia"/>
        </w:rPr>
        <w:t>34.4376</w:t>
      </w:r>
      <w:r>
        <w:rPr>
          <w:rFonts w:hint="eastAsia"/>
        </w:rPr>
        <w:t>亩</w:t>
      </w:r>
      <w:r>
        <w:t>，预计可</w:t>
      </w:r>
      <w:r>
        <w:rPr>
          <w:rFonts w:hint="eastAsia"/>
        </w:rPr>
        <w:t>获得</w:t>
      </w:r>
      <w:r>
        <w:t>税收约为</w:t>
      </w:r>
      <w:r>
        <w:rPr>
          <w:rFonts w:hint="eastAsia"/>
        </w:rPr>
        <w:t>530</w:t>
      </w:r>
      <w:r>
        <w:t>万元</w:t>
      </w:r>
      <w:r>
        <w:rPr>
          <w:rFonts w:hint="eastAsia"/>
        </w:rPr>
        <w:t>；项目工业投资强度为</w:t>
      </w:r>
      <w:r>
        <w:rPr>
          <w:rFonts w:hint="eastAsia"/>
        </w:rPr>
        <w:t>220</w:t>
      </w:r>
      <w:r>
        <w:rPr>
          <w:rFonts w:hint="eastAsia"/>
        </w:rPr>
        <w:t>万元</w:t>
      </w:r>
      <w:r>
        <w:rPr>
          <w:rFonts w:hint="eastAsia"/>
        </w:rPr>
        <w:t>/</w:t>
      </w:r>
      <w:r>
        <w:rPr>
          <w:rFonts w:hint="eastAsia"/>
        </w:rPr>
        <w:t>亩；地方土地出让</w:t>
      </w:r>
      <w:r>
        <w:rPr>
          <w:rFonts w:hint="eastAsia"/>
        </w:rPr>
        <w:t>23.7</w:t>
      </w:r>
      <w:r>
        <w:rPr>
          <w:rFonts w:hint="eastAsia"/>
        </w:rPr>
        <w:t>万元</w:t>
      </w:r>
      <w:r>
        <w:rPr>
          <w:rFonts w:hint="eastAsia"/>
        </w:rPr>
        <w:t>/</w:t>
      </w:r>
      <w:r>
        <w:rPr>
          <w:rFonts w:hint="eastAsia"/>
        </w:rPr>
        <w:t>亩。可见</w:t>
      </w:r>
      <w:r w:rsidR="00215072">
        <w:t>项目投资后具有较好的经济效益</w:t>
      </w:r>
      <w:r w:rsidR="00215072">
        <w:rPr>
          <w:rFonts w:hint="eastAsia"/>
        </w:rPr>
        <w:t>。</w:t>
      </w:r>
      <w:r>
        <w:t>此外，本成片开发的实施在促进产业发展的同时，也将带动周边发展，外部第三产业的发展将直接增加当地就业机会，间接增加当地居民的人均可支配收入，带动当地消费水平的提升，提高人民的生活质量。</w:t>
      </w:r>
    </w:p>
    <w:p w:rsidR="001D0EA2" w:rsidRDefault="00215072" w:rsidP="006D4E2A">
      <w:pPr>
        <w:pStyle w:val="2"/>
        <w:overflowPunct w:val="0"/>
        <w:spacing w:line="560" w:lineRule="exact"/>
        <w:ind w:left="641" w:firstLineChars="0" w:firstLine="0"/>
      </w:pPr>
      <w:bookmarkStart w:id="26" w:name="_Toc24801"/>
      <w:bookmarkStart w:id="27" w:name="_Toc21387"/>
      <w:r>
        <w:rPr>
          <w:rFonts w:hint="eastAsia"/>
        </w:rPr>
        <w:t>（四）生态效益</w:t>
      </w:r>
      <w:bookmarkEnd w:id="26"/>
      <w:bookmarkEnd w:id="27"/>
    </w:p>
    <w:p w:rsidR="001D0EA2" w:rsidRDefault="003D1E76" w:rsidP="006D4E2A">
      <w:pPr>
        <w:overflowPunct w:val="0"/>
      </w:pPr>
      <w:r>
        <w:rPr>
          <w:rFonts w:hint="eastAsia"/>
        </w:rPr>
        <w:t>本方案在开发建设的同时兼顾环境保护要求，减少建设过程中产生的不良环境影响。本次成片开发范围内，防护绿地为</w:t>
      </w:r>
      <w:r>
        <w:rPr>
          <w:rFonts w:hint="eastAsia"/>
        </w:rPr>
        <w:t>0.3569</w:t>
      </w:r>
      <w:r>
        <w:rPr>
          <w:rFonts w:hint="eastAsia"/>
        </w:rPr>
        <w:t>公顷，占本次开发面积的</w:t>
      </w:r>
      <w:r>
        <w:rPr>
          <w:rFonts w:hint="eastAsia"/>
        </w:rPr>
        <w:t>8.41%</w:t>
      </w:r>
      <w:r>
        <w:rPr>
          <w:rFonts w:hint="eastAsia"/>
        </w:rPr>
        <w:t>，片区内垃圾统</w:t>
      </w:r>
      <w:r>
        <w:rPr>
          <w:rFonts w:hint="eastAsia"/>
        </w:rPr>
        <w:lastRenderedPageBreak/>
        <w:t>一收集处理，从而在一定程度上提升区域总体环境品质，有利于营造良好的生产环境。使项目区域生态环境实现良性循环，实现人与自然、经济发展与资源环境协调、可持续发展。</w:t>
      </w:r>
    </w:p>
    <w:p w:rsidR="001D0EA2" w:rsidRDefault="003D1E76" w:rsidP="006D4E2A">
      <w:r>
        <w:t>本方案在开发建设过程中将会严格按照《工矿用地土壤环境管理办法（试行）》第七条要求，在项目建设过程中不会对</w:t>
      </w:r>
      <w:r>
        <w:rPr>
          <w:rFonts w:hint="eastAsia"/>
        </w:rPr>
        <w:t>区域生态环境产生明显的影响，符合环境质量底线要求，提高雨水和污水收集效率和集中处理率。政府将督促有关部门落实地下水环境现状调查、地表水环境影响分析及可行性保护措施评价工作，积极落实水环境保护措施，确保满足周边及下游水环境质量要求。</w:t>
      </w:r>
    </w:p>
    <w:p w:rsidR="001D0EA2" w:rsidRDefault="003D1E76" w:rsidP="006D4E2A">
      <w:pPr>
        <w:pStyle w:val="1"/>
        <w:overflowPunct w:val="0"/>
        <w:spacing w:line="560" w:lineRule="exact"/>
      </w:pPr>
      <w:bookmarkStart w:id="28" w:name="_Toc3579"/>
      <w:bookmarkStart w:id="29" w:name="_Toc15003"/>
      <w:bookmarkStart w:id="30" w:name="_Toc3242"/>
      <w:r>
        <w:rPr>
          <w:rFonts w:hint="eastAsia"/>
        </w:rPr>
        <w:t>六、</w:t>
      </w:r>
      <w:bookmarkStart w:id="31" w:name="_Toc4106"/>
      <w:bookmarkStart w:id="32" w:name="_Toc21168"/>
      <w:bookmarkStart w:id="33" w:name="_Toc8233"/>
      <w:bookmarkStart w:id="34" w:name="_Toc6842"/>
      <w:bookmarkStart w:id="35" w:name="_Toc7263"/>
      <w:bookmarkEnd w:id="28"/>
      <w:bookmarkEnd w:id="29"/>
      <w:bookmarkEnd w:id="30"/>
      <w:r>
        <w:rPr>
          <w:rFonts w:hint="eastAsia"/>
        </w:rPr>
        <w:t>占用永久基本农田和其他法律法规规定不允许占用或开发的区域</w:t>
      </w:r>
      <w:bookmarkEnd w:id="31"/>
      <w:bookmarkEnd w:id="32"/>
    </w:p>
    <w:p w:rsidR="006D4E2A" w:rsidRDefault="003D1E76" w:rsidP="006D4E2A">
      <w:pPr>
        <w:pStyle w:val="1"/>
        <w:overflowPunct w:val="0"/>
        <w:spacing w:line="560" w:lineRule="exact"/>
        <w:rPr>
          <w:rFonts w:asciiTheme="minorHAnsi" w:eastAsia="仿宋" w:hAnsiTheme="minorHAnsi"/>
          <w:kern w:val="2"/>
        </w:rPr>
      </w:pPr>
      <w:r>
        <w:rPr>
          <w:rFonts w:asciiTheme="minorHAnsi" w:eastAsia="仿宋" w:hAnsiTheme="minorHAnsi" w:hint="eastAsia"/>
          <w:kern w:val="2"/>
        </w:rPr>
        <w:t>本方案不涉及占用永久基本农田，不涉及湿地、饮用水水源区、风景名胜区、自然保护区等各类保护区，不涉及生态保护红线。不涉及历史文化名城名镇名村传统村落和文物建筑历史建筑传统风貌建筑，不涉及</w:t>
      </w:r>
      <w:r>
        <w:rPr>
          <w:rFonts w:asciiTheme="minorHAnsi" w:eastAsia="仿宋" w:hAnsiTheme="minorHAnsi" w:hint="eastAsia"/>
          <w:kern w:val="2"/>
        </w:rPr>
        <w:t>50</w:t>
      </w:r>
      <w:r>
        <w:rPr>
          <w:rFonts w:asciiTheme="minorHAnsi" w:eastAsia="仿宋" w:hAnsiTheme="minorHAnsi" w:hint="eastAsia"/>
          <w:kern w:val="2"/>
        </w:rPr>
        <w:t>年以上纳入保护的建筑。不涉及其他法律法规规定不允许占用或开发的区域。</w:t>
      </w:r>
      <w:bookmarkStart w:id="36" w:name="_Toc6767"/>
    </w:p>
    <w:p w:rsidR="001D0EA2" w:rsidRDefault="003D1E76" w:rsidP="006D4E2A">
      <w:pPr>
        <w:pStyle w:val="1"/>
        <w:overflowPunct w:val="0"/>
        <w:spacing w:line="560" w:lineRule="exact"/>
      </w:pPr>
      <w:r>
        <w:rPr>
          <w:rFonts w:hint="eastAsia"/>
        </w:rPr>
        <w:t>七、结论</w:t>
      </w:r>
      <w:bookmarkEnd w:id="36"/>
    </w:p>
    <w:p w:rsidR="001D0EA2" w:rsidRDefault="003D1E76" w:rsidP="006D4E2A">
      <w:pPr>
        <w:overflowPunct w:val="0"/>
      </w:pPr>
      <w:r>
        <w:rPr>
          <w:rFonts w:hint="eastAsia"/>
        </w:rPr>
        <w:t>本土地征收成片开发方案符合泉州市永春县国民经济和社会发展规划，项目</w:t>
      </w:r>
      <w:r>
        <w:rPr>
          <w:rFonts w:ascii="仿宋" w:hAnsi="仿宋" w:cs="仿宋" w:hint="eastAsia"/>
          <w:szCs w:val="32"/>
        </w:rPr>
        <w:t>在城镇开发边界的集中建设区</w:t>
      </w:r>
      <w:r>
        <w:rPr>
          <w:rFonts w:hint="eastAsia"/>
        </w:rPr>
        <w:t>范围，已纳入永春县国民经济和社会发展年度计划，依据自然资源部和福建省自然资源厅规定的标准和要求，做到了保护耕地、维护农民合法权益、节约集约用地、保护生态环境，能够促进经济社会可持续发展。</w:t>
      </w:r>
    </w:p>
    <w:bookmarkEnd w:id="33"/>
    <w:bookmarkEnd w:id="34"/>
    <w:bookmarkEnd w:id="35"/>
    <w:p w:rsidR="001D0EA2" w:rsidRDefault="003D1E76">
      <w:pPr>
        <w:overflowPunct w:val="0"/>
        <w:ind w:firstLineChars="0" w:firstLine="0"/>
      </w:pPr>
      <w:r>
        <w:rPr>
          <w:rFonts w:hint="eastAsia"/>
          <w:noProof/>
        </w:rPr>
        <w:lastRenderedPageBreak/>
        <w:drawing>
          <wp:anchor distT="0" distB="0" distL="114300" distR="114300" simplePos="0" relativeHeight="251660288" behindDoc="0" locked="0" layoutInCell="1" allowOverlap="1">
            <wp:simplePos x="0" y="0"/>
            <wp:positionH relativeFrom="column">
              <wp:posOffset>-49530</wp:posOffset>
            </wp:positionH>
            <wp:positionV relativeFrom="paragraph">
              <wp:posOffset>51435</wp:posOffset>
            </wp:positionV>
            <wp:extent cx="5271770" cy="7456805"/>
            <wp:effectExtent l="0" t="0" r="1270" b="10795"/>
            <wp:wrapTopAndBottom/>
            <wp:docPr id="1" name="图片 1" descr="D:\1工作\2022-10\项目\永春\永春1附图\新范围永春图\成图\成片开发位置示意图.jpg成片开发位置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1工作\2022-10\项目\永春\永春1附图\新范围永春图\成图\成片开发位置示意图.jpg成片开发位置示意图"/>
                    <pic:cNvPicPr>
                      <a:picLocks noChangeAspect="1"/>
                    </pic:cNvPicPr>
                  </pic:nvPicPr>
                  <pic:blipFill>
                    <a:blip r:embed="rId8"/>
                    <a:srcRect/>
                    <a:stretch>
                      <a:fillRect/>
                    </a:stretch>
                  </pic:blipFill>
                  <pic:spPr>
                    <a:xfrm>
                      <a:off x="0" y="0"/>
                      <a:ext cx="5271770" cy="7456805"/>
                    </a:xfrm>
                    <a:prstGeom prst="rect">
                      <a:avLst/>
                    </a:prstGeom>
                  </pic:spPr>
                </pic:pic>
              </a:graphicData>
            </a:graphic>
          </wp:anchor>
        </w:drawing>
      </w:r>
    </w:p>
    <w:sectPr w:rsidR="001D0EA2" w:rsidSect="001D0EA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695" w:rsidRDefault="005E1695">
      <w:pPr>
        <w:spacing w:line="240" w:lineRule="auto"/>
      </w:pPr>
      <w:r>
        <w:separator/>
      </w:r>
    </w:p>
  </w:endnote>
  <w:endnote w:type="continuationSeparator" w:id="1">
    <w:p w:rsidR="005E1695" w:rsidRDefault="005E16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32C8E9D2-2734-4C15-8894-5EEF7581C275}"/>
    <w:embedBold r:id="rId2" w:subsetted="1" w:fontKey="{0005BD65-5BA1-42F2-B350-A7F75FD1F745}"/>
  </w:font>
  <w:font w:name="仿宋">
    <w:panose1 w:val="02010609060101010101"/>
    <w:charset w:val="86"/>
    <w:family w:val="modern"/>
    <w:pitch w:val="fixed"/>
    <w:sig w:usb0="800002BF" w:usb1="38CF7CFA" w:usb2="00000016" w:usb3="00000000" w:csb0="00040001" w:csb1="00000000"/>
    <w:embedRegular r:id="rId3" w:subsetted="1" w:fontKey="{1046A2A3-F15B-475C-A7CA-73018483410E}"/>
    <w:embedBold r:id="rId4" w:subsetted="1" w:fontKey="{8856578B-A070-4D99-926E-FA5495A5C70F}"/>
  </w:font>
  <w:font w:name="黑体">
    <w:altName w:val="SimHei"/>
    <w:panose1 w:val="02010609060101010101"/>
    <w:charset w:val="86"/>
    <w:family w:val="modern"/>
    <w:pitch w:val="fixed"/>
    <w:sig w:usb0="800002BF" w:usb1="38CF7CFA" w:usb2="00000016" w:usb3="00000000" w:csb0="00040001" w:csb1="00000000"/>
    <w:embedRegular r:id="rId5" w:subsetted="1" w:fontKey="{FEB606A1-E1C4-4994-ACFF-28998667A877}"/>
  </w:font>
  <w:font w:name="方正仿宋_GB2312">
    <w:altName w:val="Arial Unicode MS"/>
    <w:charset w:val="86"/>
    <w:family w:val="auto"/>
    <w:pitch w:val="default"/>
    <w:sig w:usb0="00000000" w:usb1="184F6CFA" w:usb2="00000012" w:usb3="00000000" w:csb0="00040001" w:csb1="00000000"/>
  </w:font>
  <w:font w:name="华文楷体">
    <w:panose1 w:val="02010600040101010101"/>
    <w:charset w:val="86"/>
    <w:family w:val="auto"/>
    <w:pitch w:val="variable"/>
    <w:sig w:usb0="00000287" w:usb1="080F0000" w:usb2="00000010" w:usb3="00000000" w:csb0="0004009F" w:csb1="00000000"/>
    <w:embedBold r:id="rId6" w:subsetted="1" w:fontKey="{4F5BC0B2-DF2D-4384-B4D3-612C0A3AF612}"/>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embedRegular r:id="rId7" w:subsetted="1" w:fontKey="{3BFD0F11-E147-4D28-AB97-99D744DF59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072" w:rsidRDefault="00215072" w:rsidP="00215072">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EA2" w:rsidRDefault="007B46C1" w:rsidP="00215072">
    <w:pPr>
      <w:pStyle w:val="a6"/>
      <w:ind w:firstLine="360"/>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1D0EA2" w:rsidRDefault="007B46C1" w:rsidP="00215072">
                <w:pPr>
                  <w:pStyle w:val="a6"/>
                  <w:ind w:firstLine="360"/>
                </w:pPr>
                <w:r>
                  <w:fldChar w:fldCharType="begin"/>
                </w:r>
                <w:r w:rsidR="003D1E76">
                  <w:instrText xml:space="preserve"> PAGE  \* MERGEFORMAT </w:instrText>
                </w:r>
                <w:r>
                  <w:fldChar w:fldCharType="separate"/>
                </w:r>
                <w:r w:rsidR="00CD092E">
                  <w:rPr>
                    <w:noProof/>
                  </w:rP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072" w:rsidRDefault="00215072" w:rsidP="00215072">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695" w:rsidRDefault="005E1695">
      <w:pPr>
        <w:spacing w:line="240" w:lineRule="auto"/>
      </w:pPr>
      <w:r>
        <w:separator/>
      </w:r>
    </w:p>
  </w:footnote>
  <w:footnote w:type="continuationSeparator" w:id="1">
    <w:p w:rsidR="005E1695" w:rsidRDefault="005E169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072" w:rsidRDefault="00215072" w:rsidP="00215072">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EA2" w:rsidRDefault="001D0EA2" w:rsidP="00215072">
    <w:pPr>
      <w:pStyle w:val="a7"/>
      <w:ind w:firstLine="420"/>
      <w:jc w:val="center"/>
      <w:rPr>
        <w:rFonts w:asciiTheme="majorEastAsia" w:eastAsiaTheme="majorEastAsia" w:hAnsiTheme="majorEastAsia" w:cstheme="majorEastAsia"/>
        <w:sz w:val="21"/>
        <w:szCs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072" w:rsidRDefault="00215072" w:rsidP="00215072">
    <w:pPr>
      <w:pStyle w:val="a7"/>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E4E42D"/>
    <w:multiLevelType w:val="singleLevel"/>
    <w:tmpl w:val="F7E4E42D"/>
    <w:lvl w:ilvl="0">
      <w:start w:val="2"/>
      <w:numFmt w:val="chineseCounting"/>
      <w:suff w:val="nothing"/>
      <w:lvlText w:val="（%1）"/>
      <w:lvlJc w:val="left"/>
      <w:rPr>
        <w:rFonts w:hint="eastAsia"/>
      </w:rPr>
    </w:lvl>
  </w:abstractNum>
  <w:abstractNum w:abstractNumId="1">
    <w:nsid w:val="742295BC"/>
    <w:multiLevelType w:val="singleLevel"/>
    <w:tmpl w:val="742295BC"/>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embedTrueTypeFonts/>
  <w:saveSubsetFonts/>
  <w:bordersDoNotSurroundHeader/>
  <w:bordersDoNotSurroundFooter/>
  <w:defaultTabStop w:val="420"/>
  <w:drawingGridVerticalSpacing w:val="156"/>
  <w:noPunctuationKerning/>
  <w:characterSpacingControl w:val="compressPunctuation"/>
  <w:hdrShapeDefaults>
    <o:shapedefaults v:ext="edit" spidmax="717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DkzYjhmY2QxNDIzNTk4YWYxMjJiOWE1MDlmY2U2ZGQifQ=="/>
  </w:docVars>
  <w:rsids>
    <w:rsidRoot w:val="02CE2A85"/>
    <w:rsid w:val="001D0EA2"/>
    <w:rsid w:val="0021309F"/>
    <w:rsid w:val="00215072"/>
    <w:rsid w:val="003D1E76"/>
    <w:rsid w:val="004A3AD3"/>
    <w:rsid w:val="005E1695"/>
    <w:rsid w:val="006D4E2A"/>
    <w:rsid w:val="007B430C"/>
    <w:rsid w:val="007B46C1"/>
    <w:rsid w:val="00C376F4"/>
    <w:rsid w:val="00CD092E"/>
    <w:rsid w:val="02025807"/>
    <w:rsid w:val="02CE2A85"/>
    <w:rsid w:val="07B12112"/>
    <w:rsid w:val="0815299A"/>
    <w:rsid w:val="08275C22"/>
    <w:rsid w:val="09B17D10"/>
    <w:rsid w:val="0CD93263"/>
    <w:rsid w:val="1111746F"/>
    <w:rsid w:val="11BD38A4"/>
    <w:rsid w:val="13663E48"/>
    <w:rsid w:val="14783B30"/>
    <w:rsid w:val="151C22BE"/>
    <w:rsid w:val="1602382A"/>
    <w:rsid w:val="17E36B94"/>
    <w:rsid w:val="1C662360"/>
    <w:rsid w:val="1CF30371"/>
    <w:rsid w:val="1E9A6CF6"/>
    <w:rsid w:val="2162702B"/>
    <w:rsid w:val="21CE14F2"/>
    <w:rsid w:val="220D0600"/>
    <w:rsid w:val="23505325"/>
    <w:rsid w:val="24294678"/>
    <w:rsid w:val="245B4BC7"/>
    <w:rsid w:val="250D30B9"/>
    <w:rsid w:val="289F59A8"/>
    <w:rsid w:val="29957725"/>
    <w:rsid w:val="2B3B53BD"/>
    <w:rsid w:val="2D9C41D1"/>
    <w:rsid w:val="2DFA1905"/>
    <w:rsid w:val="2EEB0EA8"/>
    <w:rsid w:val="35D94E17"/>
    <w:rsid w:val="374675C3"/>
    <w:rsid w:val="39D6222B"/>
    <w:rsid w:val="3BCD01E4"/>
    <w:rsid w:val="44307E23"/>
    <w:rsid w:val="450E0C71"/>
    <w:rsid w:val="46D128CB"/>
    <w:rsid w:val="47286732"/>
    <w:rsid w:val="4A4D149C"/>
    <w:rsid w:val="4D761E2D"/>
    <w:rsid w:val="50127AA9"/>
    <w:rsid w:val="505467FB"/>
    <w:rsid w:val="511C5F57"/>
    <w:rsid w:val="52AA4A52"/>
    <w:rsid w:val="5D137698"/>
    <w:rsid w:val="5ECC3FA2"/>
    <w:rsid w:val="60302866"/>
    <w:rsid w:val="652124B7"/>
    <w:rsid w:val="658860C8"/>
    <w:rsid w:val="659D0447"/>
    <w:rsid w:val="6FE3114C"/>
    <w:rsid w:val="71265DB7"/>
    <w:rsid w:val="732D35ED"/>
    <w:rsid w:val="75B01AD0"/>
    <w:rsid w:val="790F6534"/>
    <w:rsid w:val="7BD256F0"/>
    <w:rsid w:val="7D786623"/>
    <w:rsid w:val="7DC91981"/>
    <w:rsid w:val="7ECB4467"/>
    <w:rsid w:val="7EDC0C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1D0EA2"/>
    <w:pPr>
      <w:widowControl w:val="0"/>
      <w:spacing w:line="560" w:lineRule="exact"/>
      <w:ind w:firstLineChars="200" w:firstLine="640"/>
      <w:jc w:val="both"/>
    </w:pPr>
    <w:rPr>
      <w:rFonts w:asciiTheme="minorHAnsi" w:eastAsia="仿宋" w:hAnsiTheme="minorHAnsi" w:cstheme="minorBidi"/>
      <w:kern w:val="2"/>
      <w:sz w:val="32"/>
      <w:szCs w:val="24"/>
    </w:rPr>
  </w:style>
  <w:style w:type="paragraph" w:styleId="1">
    <w:name w:val="heading 1"/>
    <w:basedOn w:val="a"/>
    <w:next w:val="a"/>
    <w:link w:val="1Char"/>
    <w:qFormat/>
    <w:rsid w:val="001D0EA2"/>
    <w:pPr>
      <w:keepNext/>
      <w:keepLines/>
      <w:spacing w:before="10" w:line="600" w:lineRule="exact"/>
      <w:outlineLvl w:val="0"/>
    </w:pPr>
    <w:rPr>
      <w:rFonts w:ascii="黑体" w:eastAsia="黑体" w:hAnsi="黑体"/>
      <w:kern w:val="44"/>
    </w:rPr>
  </w:style>
  <w:style w:type="paragraph" w:styleId="2">
    <w:name w:val="heading 2"/>
    <w:basedOn w:val="a"/>
    <w:next w:val="a"/>
    <w:link w:val="2Char"/>
    <w:unhideWhenUsed/>
    <w:qFormat/>
    <w:rsid w:val="001D0EA2"/>
    <w:pPr>
      <w:keepNext/>
      <w:keepLines/>
      <w:spacing w:line="600" w:lineRule="exact"/>
      <w:outlineLvl w:val="1"/>
    </w:pPr>
    <w:rPr>
      <w:rFonts w:ascii="方正仿宋_GB2312" w:eastAsia="华文楷体" w:hAnsi="方正仿宋_GB2312"/>
      <w:b/>
    </w:rPr>
  </w:style>
  <w:style w:type="paragraph" w:styleId="3">
    <w:name w:val="heading 3"/>
    <w:basedOn w:val="a"/>
    <w:next w:val="a"/>
    <w:link w:val="3Char"/>
    <w:unhideWhenUsed/>
    <w:qFormat/>
    <w:rsid w:val="001D0EA2"/>
    <w:pPr>
      <w:keepNext/>
      <w:keepLines/>
      <w:spacing w:line="600" w:lineRule="exact"/>
      <w:outlineLvl w:val="2"/>
    </w:pPr>
    <w:rPr>
      <w:b/>
    </w:rPr>
  </w:style>
  <w:style w:type="paragraph" w:styleId="4">
    <w:name w:val="heading 4"/>
    <w:basedOn w:val="a"/>
    <w:next w:val="a"/>
    <w:qFormat/>
    <w:rsid w:val="001D0EA2"/>
    <w:pPr>
      <w:keepNext/>
      <w:keepLines/>
      <w:autoSpaceDE w:val="0"/>
      <w:autoSpaceDN w:val="0"/>
      <w:adjustRightInd w:val="0"/>
      <w:spacing w:before="280" w:after="290" w:line="376" w:lineRule="atLeast"/>
      <w:textAlignment w:val="baseline"/>
      <w:outlineLvl w:val="3"/>
    </w:pPr>
    <w:rPr>
      <w:rFonts w:ascii="Arial" w:eastAsia="黑体" w:hAnsi="Arial"/>
      <w:b/>
      <w:kern w:val="0"/>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1D0EA2"/>
    <w:pPr>
      <w:jc w:val="left"/>
    </w:pPr>
  </w:style>
  <w:style w:type="paragraph" w:styleId="a4">
    <w:name w:val="Body Text Indent"/>
    <w:basedOn w:val="a"/>
    <w:next w:val="a5"/>
    <w:qFormat/>
    <w:rsid w:val="001D0EA2"/>
    <w:pPr>
      <w:spacing w:after="120"/>
      <w:ind w:leftChars="200" w:left="420"/>
    </w:pPr>
  </w:style>
  <w:style w:type="paragraph" w:styleId="a5">
    <w:name w:val="Plain Text"/>
    <w:basedOn w:val="a"/>
    <w:qFormat/>
    <w:rsid w:val="001D0EA2"/>
    <w:pPr>
      <w:autoSpaceDE w:val="0"/>
      <w:autoSpaceDN w:val="0"/>
    </w:pPr>
    <w:rPr>
      <w:szCs w:val="21"/>
    </w:rPr>
  </w:style>
  <w:style w:type="paragraph" w:styleId="a6">
    <w:name w:val="footer"/>
    <w:basedOn w:val="a"/>
    <w:qFormat/>
    <w:rsid w:val="001D0EA2"/>
    <w:pPr>
      <w:tabs>
        <w:tab w:val="center" w:pos="4153"/>
        <w:tab w:val="right" w:pos="8306"/>
      </w:tabs>
      <w:snapToGrid w:val="0"/>
      <w:jc w:val="left"/>
    </w:pPr>
    <w:rPr>
      <w:sz w:val="18"/>
    </w:rPr>
  </w:style>
  <w:style w:type="paragraph" w:styleId="a7">
    <w:name w:val="header"/>
    <w:basedOn w:val="a"/>
    <w:qFormat/>
    <w:rsid w:val="001D0EA2"/>
    <w:pPr>
      <w:pBdr>
        <w:top w:val="none" w:sz="0" w:space="1" w:color="auto"/>
        <w:left w:val="none" w:sz="0" w:space="4" w:color="auto"/>
        <w:bottom w:val="none" w:sz="0" w:space="1" w:color="auto"/>
        <w:right w:val="none" w:sz="0" w:space="4" w:color="auto"/>
      </w:pBdr>
      <w:tabs>
        <w:tab w:val="center" w:pos="4153"/>
        <w:tab w:val="right" w:pos="8306"/>
      </w:tabs>
      <w:snapToGrid w:val="0"/>
    </w:pPr>
    <w:rPr>
      <w:rFonts w:ascii="Lucida Sans" w:hAnsi="Lucida Sans"/>
      <w:sz w:val="18"/>
    </w:rPr>
  </w:style>
  <w:style w:type="paragraph" w:styleId="10">
    <w:name w:val="toc 1"/>
    <w:basedOn w:val="a"/>
    <w:next w:val="a"/>
    <w:qFormat/>
    <w:rsid w:val="001D0EA2"/>
  </w:style>
  <w:style w:type="paragraph" w:styleId="20">
    <w:name w:val="toc 2"/>
    <w:basedOn w:val="a"/>
    <w:next w:val="a"/>
    <w:qFormat/>
    <w:rsid w:val="001D0EA2"/>
    <w:pPr>
      <w:ind w:leftChars="200" w:left="420"/>
    </w:pPr>
  </w:style>
  <w:style w:type="paragraph" w:styleId="21">
    <w:name w:val="Body Text First Indent 2"/>
    <w:basedOn w:val="a4"/>
    <w:next w:val="a"/>
    <w:qFormat/>
    <w:rsid w:val="001D0EA2"/>
    <w:pPr>
      <w:ind w:firstLine="1012"/>
    </w:pPr>
  </w:style>
  <w:style w:type="character" w:styleId="a8">
    <w:name w:val="Strong"/>
    <w:basedOn w:val="a0"/>
    <w:qFormat/>
    <w:rsid w:val="001D0EA2"/>
    <w:rPr>
      <w:b/>
    </w:rPr>
  </w:style>
  <w:style w:type="character" w:customStyle="1" w:styleId="2Char">
    <w:name w:val="标题 2 Char"/>
    <w:link w:val="2"/>
    <w:qFormat/>
    <w:rsid w:val="001D0EA2"/>
    <w:rPr>
      <w:rFonts w:ascii="方正仿宋_GB2312" w:eastAsia="华文楷体" w:hAnsi="方正仿宋_GB2312"/>
      <w:b/>
    </w:rPr>
  </w:style>
  <w:style w:type="paragraph" w:customStyle="1" w:styleId="11">
    <w:name w:val="列表段落1"/>
    <w:basedOn w:val="a"/>
    <w:uiPriority w:val="34"/>
    <w:qFormat/>
    <w:rsid w:val="001D0EA2"/>
    <w:pPr>
      <w:ind w:firstLine="420"/>
    </w:pPr>
  </w:style>
  <w:style w:type="character" w:customStyle="1" w:styleId="1Char">
    <w:name w:val="标题 1 Char"/>
    <w:link w:val="1"/>
    <w:qFormat/>
    <w:rsid w:val="001D0EA2"/>
    <w:rPr>
      <w:rFonts w:ascii="黑体" w:eastAsia="黑体" w:hAnsi="黑体"/>
      <w:kern w:val="44"/>
      <w:sz w:val="32"/>
    </w:rPr>
  </w:style>
  <w:style w:type="paragraph" w:customStyle="1" w:styleId="Default">
    <w:name w:val="Default"/>
    <w:qFormat/>
    <w:rsid w:val="001D0EA2"/>
    <w:pPr>
      <w:widowControl w:val="0"/>
      <w:autoSpaceDE w:val="0"/>
      <w:autoSpaceDN w:val="0"/>
      <w:adjustRightInd w:val="0"/>
    </w:pPr>
    <w:rPr>
      <w:rFonts w:ascii="宋体" w:cs="宋体"/>
      <w:color w:val="000000"/>
      <w:sz w:val="24"/>
      <w:szCs w:val="24"/>
    </w:rPr>
  </w:style>
  <w:style w:type="paragraph" w:customStyle="1" w:styleId="WPSOffice1">
    <w:name w:val="WPSOffice手动目录 1"/>
    <w:qFormat/>
    <w:rsid w:val="001D0EA2"/>
  </w:style>
  <w:style w:type="paragraph" w:customStyle="1" w:styleId="WPSOffice2">
    <w:name w:val="WPSOffice手动目录 2"/>
    <w:qFormat/>
    <w:rsid w:val="001D0EA2"/>
    <w:pPr>
      <w:ind w:leftChars="200" w:left="200"/>
    </w:pPr>
  </w:style>
  <w:style w:type="character" w:customStyle="1" w:styleId="3Char">
    <w:name w:val="标题 3 Char"/>
    <w:link w:val="3"/>
    <w:qFormat/>
    <w:rsid w:val="001D0EA2"/>
    <w:rPr>
      <w:b/>
    </w:rPr>
  </w:style>
  <w:style w:type="character" w:customStyle="1" w:styleId="font31">
    <w:name w:val="font31"/>
    <w:basedOn w:val="a0"/>
    <w:qFormat/>
    <w:rsid w:val="001D0EA2"/>
    <w:rPr>
      <w:rFonts w:ascii="Times New Roman" w:hAnsi="Times New Roman" w:cs="Times New Roman" w:hint="default"/>
      <w:color w:val="000000"/>
      <w:sz w:val="32"/>
      <w:szCs w:val="32"/>
      <w:u w:val="none"/>
    </w:rPr>
  </w:style>
  <w:style w:type="character" w:customStyle="1" w:styleId="font01">
    <w:name w:val="font01"/>
    <w:basedOn w:val="a0"/>
    <w:qFormat/>
    <w:rsid w:val="001D0EA2"/>
    <w:rPr>
      <w:rFonts w:ascii="黑体" w:eastAsia="黑体" w:hAnsi="宋体" w:cs="黑体" w:hint="eastAsia"/>
      <w:color w:val="000000"/>
      <w:sz w:val="32"/>
      <w:szCs w:val="32"/>
      <w:u w:val="none"/>
    </w:rPr>
  </w:style>
  <w:style w:type="character" w:customStyle="1" w:styleId="font41">
    <w:name w:val="font41"/>
    <w:basedOn w:val="a0"/>
    <w:qFormat/>
    <w:rsid w:val="001D0EA2"/>
    <w:rPr>
      <w:rFonts w:ascii="Times New Roman" w:hAnsi="Times New Roman" w:cs="Times New Roman" w:hint="default"/>
      <w:color w:val="000000"/>
      <w:sz w:val="32"/>
      <w:szCs w:val="32"/>
      <w:u w:val="none"/>
    </w:rPr>
  </w:style>
  <w:style w:type="character" w:customStyle="1" w:styleId="font21">
    <w:name w:val="font21"/>
    <w:basedOn w:val="a0"/>
    <w:qFormat/>
    <w:rsid w:val="001D0EA2"/>
    <w:rPr>
      <w:rFonts w:ascii="黑体" w:eastAsia="黑体" w:hAnsi="宋体" w:cs="黑体" w:hint="eastAsia"/>
      <w:color w:val="000000"/>
      <w:sz w:val="32"/>
      <w:szCs w:val="32"/>
      <w:u w:val="none"/>
    </w:rPr>
  </w:style>
  <w:style w:type="character" w:customStyle="1" w:styleId="font51">
    <w:name w:val="font51"/>
    <w:basedOn w:val="a0"/>
    <w:qFormat/>
    <w:rsid w:val="001D0EA2"/>
    <w:rPr>
      <w:rFonts w:ascii="Times New Roman" w:hAnsi="Times New Roman" w:cs="Times New Roman" w:hint="default"/>
      <w:color w:val="000000"/>
      <w:sz w:val="28"/>
      <w:szCs w:val="28"/>
      <w:u w:val="none"/>
    </w:rPr>
  </w:style>
  <w:style w:type="character" w:customStyle="1" w:styleId="font61">
    <w:name w:val="font61"/>
    <w:basedOn w:val="a0"/>
    <w:qFormat/>
    <w:rsid w:val="001D0EA2"/>
    <w:rPr>
      <w:rFonts w:ascii="Times New Roman" w:hAnsi="Times New Roman" w:cs="Times New Roman" w:hint="default"/>
      <w:color w:val="000000"/>
      <w:sz w:val="32"/>
      <w:szCs w:val="32"/>
      <w:u w:val="none"/>
    </w:rPr>
  </w:style>
  <w:style w:type="character" w:customStyle="1" w:styleId="font11">
    <w:name w:val="font11"/>
    <w:basedOn w:val="a0"/>
    <w:qFormat/>
    <w:rsid w:val="001D0EA2"/>
    <w:rPr>
      <w:rFonts w:ascii="黑体" w:eastAsia="黑体" w:hAnsi="宋体" w:cs="黑体" w:hint="eastAsia"/>
      <w:color w:val="000000"/>
      <w:sz w:val="32"/>
      <w:szCs w:val="32"/>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512</Words>
  <Characters>2921</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WPS_1521813047</dc:creator>
  <cp:lastModifiedBy>微软用户</cp:lastModifiedBy>
  <cp:revision>6</cp:revision>
  <cp:lastPrinted>2023-02-16T07:34:00Z</cp:lastPrinted>
  <dcterms:created xsi:type="dcterms:W3CDTF">2022-10-29T09:29:00Z</dcterms:created>
  <dcterms:modified xsi:type="dcterms:W3CDTF">2023-02-16T07:34:00Z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8C51717A464A4B42AF0D03B7A53829CE</vt:lpwstr>
  </property>
</Properties>
</file>