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永春县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地方政府债务情况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一、举借政府债务及债券资金使用安排情况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201</w:t>
      </w:r>
      <w:r>
        <w:rPr>
          <w:rFonts w:hint="eastAsia" w:ascii="仿宋" w:hAnsi="仿宋" w:eastAsia="仿宋" w:cs="仿宋"/>
          <w:spacing w:val="-6"/>
          <w:lang w:val="en-US" w:eastAsia="zh-CN"/>
        </w:rPr>
        <w:t>9</w:t>
      </w:r>
      <w:r>
        <w:rPr>
          <w:rFonts w:hint="eastAsia" w:ascii="仿宋" w:hAnsi="仿宋" w:eastAsia="仿宋" w:cs="仿宋"/>
          <w:spacing w:val="-6"/>
        </w:rPr>
        <w:t>年全县新增债务限额2.79</w:t>
      </w:r>
      <w:r>
        <w:rPr>
          <w:rFonts w:hint="eastAsia" w:ascii="仿宋" w:hAnsi="仿宋" w:eastAsia="仿宋" w:cs="仿宋"/>
          <w:spacing w:val="-6"/>
          <w:lang w:val="en-US" w:eastAsia="zh-CN"/>
        </w:rPr>
        <w:t>66</w:t>
      </w:r>
      <w:r>
        <w:rPr>
          <w:rFonts w:hint="eastAsia" w:ascii="仿宋" w:hAnsi="仿宋" w:eastAsia="仿宋" w:cs="仿宋"/>
          <w:spacing w:val="-6"/>
        </w:rPr>
        <w:t>亿元，其中：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（一）新增地方政府一般债券1.2124亿元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1、安排用于教育基础设施建设0.09亿元，其中：永春五中学生宿舍楼建设0.04亿元、永春华侨中学教学楼建设0.05亿元。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2、安排用于卫生基础设施建设0.115亿元，其中：永春妇幼保健院建设0.1亿元、吾峰卫生院医技楼建设0.015亿元。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3、安排用于社会保障0.07亿元，其中：安康医院病房大楼及配套设施建设0.04亿元、老干部活动中心扩建工程0.03亿元。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4、安排用于城乡基础设施建设0.6亿元，其中：城东街及城东南街景观提升工程0.3亿元、城区道路提升改造工程0.3亿元。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5、安排用于乡村振兴0.3374亿元，其中：通羽路道路工程0.1亿元、象山寨道路工程0.18亿元、五里街镇吾边村“四好农村路”环村路网工程0.0574亿元。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（二）新增地方政府外贷0.08</w:t>
      </w:r>
      <w:r>
        <w:rPr>
          <w:rFonts w:hint="eastAsia" w:ascii="仿宋" w:hAnsi="仿宋" w:eastAsia="仿宋" w:cs="仿宋"/>
          <w:spacing w:val="-6"/>
          <w:lang w:val="en-US" w:eastAsia="zh-CN"/>
        </w:rPr>
        <w:t>42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安排用于用于中国医疗卫生改革促进项目0.08</w:t>
      </w:r>
      <w:r>
        <w:rPr>
          <w:rFonts w:hint="eastAsia" w:ascii="仿宋" w:hAnsi="仿宋" w:eastAsia="仿宋" w:cs="仿宋"/>
          <w:spacing w:val="-6"/>
          <w:lang w:val="en-US" w:eastAsia="zh-CN"/>
        </w:rPr>
        <w:t>42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（三）新增地方政府专项债券1.5亿元</w:t>
      </w:r>
    </w:p>
    <w:p>
      <w:pPr>
        <w:pStyle w:val="8"/>
        <w:spacing w:line="580" w:lineRule="exact"/>
        <w:ind w:firstLine="59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安排用于温泉小区棚户区改造建设1.5亿元。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8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年底，全县政府债务余额47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1732亿元，债务余额严格控制在省财政核定的限额50.6508亿元内（所属地区地方政府债务限额及余额详见附表）。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 xml:space="preserve">2019年全县由省级代为发行地方政府债券3.4152亿元。 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按债券性质分：由省级代为发行新增债券2.7124亿元，由省级代为发行再融资债券0.7028亿元。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8"/>
        <w:spacing w:line="580" w:lineRule="exact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 xml:space="preserve">2019年全县地方政府债券还本付息2.2906亿元。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C"/>
    <w:rsid w:val="0003080C"/>
    <w:rsid w:val="00144DAA"/>
    <w:rsid w:val="00434277"/>
    <w:rsid w:val="007225BE"/>
    <w:rsid w:val="00760F51"/>
    <w:rsid w:val="00967185"/>
    <w:rsid w:val="0FDD2775"/>
    <w:rsid w:val="116B6758"/>
    <w:rsid w:val="36647865"/>
    <w:rsid w:val="44EF5AFA"/>
    <w:rsid w:val="48FB3852"/>
    <w:rsid w:val="50305823"/>
    <w:rsid w:val="57A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内容"/>
    <w:basedOn w:val="1"/>
    <w:qFormat/>
    <w:uiPriority w:val="0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378</Characters>
  <Lines>3</Lines>
  <Paragraphs>1</Paragraphs>
  <ScaleCrop>false</ScaleCrop>
  <LinksUpToDate>false</LinksUpToDate>
  <CharactersWithSpaces>443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2021-05-31T07:58:00Z</dcterms:created>
  <dc:creator>张鎣</dc:creator>
  <cp:lastModifiedBy>Administrator</cp:lastModifiedBy>
  <cp:lastPrinted>2021-05-31T07:59:00Z</cp:lastPrinted>
  <dcterms:modified xsi:type="dcterms:W3CDTF">2021-06-11T08:08:23Z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