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</w:rPr>
      </w:pPr>
    </w:p>
    <w:p>
      <w:pPr>
        <w:pStyle w:val="6"/>
        <w:snapToGrid w:val="0"/>
        <w:spacing w:after="0" w:line="500" w:lineRule="exact"/>
        <w:rPr>
          <w:rFonts w:ascii="仿宋_GB2312" w:eastAsia="仿宋_GB2312" w:cs="Times New Roman"/>
          <w:sz w:val="32"/>
          <w:szCs w:val="32"/>
        </w:rPr>
      </w:pPr>
    </w:p>
    <w:p>
      <w:pPr>
        <w:pStyle w:val="6"/>
        <w:spacing w:after="0" w:line="620" w:lineRule="exact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800" w:lineRule="exact"/>
        <w:jc w:val="center"/>
        <w:textAlignment w:val="auto"/>
        <w:rPr>
          <w:rFonts w:ascii="仿宋_GB2312" w:cs="Times New Roma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800" w:lineRule="exact"/>
        <w:ind w:firstLine="31680"/>
        <w:jc w:val="center"/>
        <w:textAlignment w:val="auto"/>
        <w:rPr>
          <w:rFonts w:cs="Times New Roma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320" w:lineRule="exact"/>
        <w:ind w:firstLine="0" w:firstLineChars="0"/>
        <w:jc w:val="both"/>
        <w:textAlignment w:val="auto"/>
        <w:rPr>
          <w:rFonts w:cs="Times New Roman"/>
        </w:rPr>
      </w:pPr>
    </w:p>
    <w:p>
      <w:pPr>
        <w:pStyle w:val="8"/>
        <w:ind w:firstLine="0" w:firstLineChars="0"/>
        <w:jc w:val="center"/>
        <w:rPr>
          <w:rFonts w:ascii="仿宋_GB2312" w:cs="Times New Roman"/>
          <w:kern w:val="2"/>
        </w:rPr>
      </w:pPr>
      <w:r>
        <w:rPr>
          <w:rFonts w:hint="eastAsia" w:ascii="仿宋_GB2312" w:cs="仿宋_GB2312"/>
          <w:kern w:val="2"/>
        </w:rPr>
        <w:t>永民老〔</w:t>
      </w:r>
      <w:r>
        <w:rPr>
          <w:rFonts w:ascii="仿宋_GB2312" w:cs="仿宋_GB2312"/>
          <w:kern w:val="2"/>
        </w:rPr>
        <w:t>2024</w:t>
      </w:r>
      <w:r>
        <w:rPr>
          <w:rFonts w:hint="eastAsia" w:ascii="仿宋_GB2312" w:cs="仿宋_GB2312"/>
          <w:kern w:val="2"/>
        </w:rPr>
        <w:t>〕</w:t>
      </w:r>
      <w:r>
        <w:rPr>
          <w:rFonts w:hint="eastAsia" w:ascii="仿宋_GB2312" w:cs="仿宋_GB2312"/>
          <w:kern w:val="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cs="仿宋_GB2312"/>
          <w:kern w:val="2"/>
        </w:rPr>
        <w:t>号</w:t>
      </w:r>
    </w:p>
    <w:p>
      <w:pPr>
        <w:rPr>
          <w:rFonts w:hint="eastAsia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永春县民政局关于下拨2024年革命老区发展（未列入革命文物红色文化遗存保护利用）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省级专项资金的通知</w:t>
      </w:r>
    </w:p>
    <w:p>
      <w:pPr>
        <w:spacing w:beforeLines="50"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各有关乡镇人民政府：</w:t>
      </w:r>
    </w:p>
    <w:p>
      <w:pPr>
        <w:spacing w:line="560" w:lineRule="exact"/>
        <w:ind w:firstLine="63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根据《泉州市财政局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泉州市民政局关于下达</w:t>
      </w:r>
      <w:r>
        <w:rPr>
          <w:rFonts w:ascii="仿宋_GB2312" w:eastAsia="仿宋_GB2312" w:cs="仿宋_GB2312"/>
          <w:sz w:val="32"/>
          <w:szCs w:val="32"/>
        </w:rPr>
        <w:t>2024</w:t>
      </w:r>
      <w:r>
        <w:rPr>
          <w:rFonts w:hint="eastAsia" w:ascii="仿宋_GB2312" w:eastAsia="仿宋_GB2312" w:cs="仿宋_GB2312"/>
          <w:sz w:val="32"/>
          <w:szCs w:val="32"/>
        </w:rPr>
        <w:t>年革命老区发展（未列入革命文物红色文化遗存保护利用）省级专项资金的通知》（泉财指标〔</w:t>
      </w:r>
      <w:r>
        <w:rPr>
          <w:rFonts w:ascii="仿宋_GB2312" w:eastAsia="仿宋_GB2312" w:cs="仿宋_GB2312"/>
          <w:sz w:val="32"/>
          <w:szCs w:val="32"/>
        </w:rPr>
        <w:t>2024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37</w:t>
      </w:r>
      <w:r>
        <w:rPr>
          <w:rFonts w:hint="eastAsia" w:ascii="仿宋_GB2312" w:eastAsia="仿宋_GB2312" w:cs="仿宋_GB2312"/>
          <w:sz w:val="32"/>
          <w:szCs w:val="32"/>
        </w:rPr>
        <w:t>号）文件，经研究，现下拨</w:t>
      </w:r>
      <w:r>
        <w:rPr>
          <w:rFonts w:ascii="仿宋_GB2312" w:eastAsia="仿宋_GB2312" w:cs="仿宋_GB2312"/>
          <w:sz w:val="32"/>
          <w:szCs w:val="32"/>
        </w:rPr>
        <w:t>2024</w:t>
      </w:r>
      <w:r>
        <w:rPr>
          <w:rFonts w:hint="eastAsia" w:ascii="仿宋_GB2312" w:eastAsia="仿宋_GB2312" w:cs="仿宋_GB2312"/>
          <w:sz w:val="32"/>
          <w:szCs w:val="32"/>
        </w:rPr>
        <w:t>年革命老区发展（未列入革命文物红色文化遗存保护利用）省级专项资金</w:t>
      </w:r>
      <w:r>
        <w:rPr>
          <w:rFonts w:ascii="仿宋_GB2312" w:eastAsia="仿宋_GB2312" w:cs="仿宋_GB2312"/>
          <w:sz w:val="32"/>
          <w:szCs w:val="32"/>
        </w:rPr>
        <w:t>260</w:t>
      </w:r>
      <w:r>
        <w:rPr>
          <w:rFonts w:hint="eastAsia" w:ascii="仿宋_GB2312" w:eastAsia="仿宋_GB2312" w:cs="仿宋_GB2312"/>
          <w:sz w:val="32"/>
          <w:szCs w:val="32"/>
        </w:rPr>
        <w:t>万元（详见附件），有关事项通知如下：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一、此款项拨付到各有关乡镇人民政府，列入第</w:t>
      </w:r>
      <w:r>
        <w:rPr>
          <w:rFonts w:ascii="仿宋_GB2312" w:eastAsia="仿宋_GB2312" w:cs="仿宋_GB2312"/>
          <w:sz w:val="32"/>
          <w:szCs w:val="32"/>
        </w:rPr>
        <w:t>2080299</w:t>
      </w:r>
      <w:r>
        <w:rPr>
          <w:rFonts w:hint="eastAsia" w:ascii="仿宋_GB2312" w:eastAsia="仿宋_GB2312" w:cs="仿宋_GB2312"/>
          <w:sz w:val="32"/>
          <w:szCs w:val="32"/>
        </w:rPr>
        <w:t>项“其他民政管理事务支出”科目。</w:t>
      </w:r>
    </w:p>
    <w:p>
      <w:pPr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二、请严格按照《福建省革命老区发展（革命遗址保护利用）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专项资金管理办法》（闽财社〔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38</w:t>
      </w:r>
      <w:r>
        <w:rPr>
          <w:rFonts w:hint="eastAsia" w:ascii="仿宋_GB2312" w:eastAsia="仿宋_GB2312" w:cs="仿宋_GB2312"/>
          <w:sz w:val="32"/>
          <w:szCs w:val="32"/>
        </w:rPr>
        <w:t>号）要求，加强资金管理</w:t>
      </w:r>
      <w:r>
        <w:rPr>
          <w:rFonts w:ascii="仿宋_GB2312" w:eastAsia="仿宋_GB2312" w:cs="仿宋_GB2312"/>
          <w:sz w:val="32"/>
          <w:szCs w:val="32"/>
        </w:rPr>
        <w:t xml:space="preserve">, </w:t>
      </w:r>
      <w:r>
        <w:rPr>
          <w:rFonts w:hint="eastAsia" w:ascii="仿宋_GB2312" w:eastAsia="仿宋_GB2312" w:cs="仿宋_GB2312"/>
          <w:sz w:val="32"/>
          <w:szCs w:val="32"/>
        </w:rPr>
        <w:t>确保资金及时足额拨付到位、专款专用。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三、请抓紧组织具体项目的实施。要对项目实施、资金使用实行全过程监管，督促指导项目单位按申报内容抓紧组织实施，确保项目验收合格按时完成，取得应有的成效。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四、建立报告制度。要指定专人负责相关信息的收集和反馈工作，按照《永春县民政局关于实行老区项目月报及年报制度的通知》要求，每月底将项目实施进度报县老区办备案。项目完成后及时将项目公告公示、资金使用管理、项目建设材料、项目实施成效等情况报县老区办备案。</w:t>
      </w:r>
    </w:p>
    <w:p>
      <w:pPr>
        <w:spacing w:line="52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五、为推进全面实施预算绩效管理，切实提高财政资金使用效益，请对照绩效目标做好绩效监控和绩效评价，确保年度绩效目标如期实现。</w:t>
      </w:r>
    </w:p>
    <w:p>
      <w:pPr>
        <w:spacing w:line="560" w:lineRule="exact"/>
        <w:ind w:left="1438" w:leftChars="304" w:hanging="800" w:hangingChars="25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附件：</w:t>
      </w:r>
      <w:r>
        <w:rPr>
          <w:rFonts w:ascii="仿宋_GB2312" w:eastAsia="仿宋_GB2312" w:cs="仿宋_GB2312"/>
          <w:sz w:val="32"/>
          <w:szCs w:val="32"/>
        </w:rPr>
        <w:t>1.2024</w:t>
      </w:r>
      <w:r>
        <w:rPr>
          <w:rFonts w:hint="eastAsia" w:ascii="仿宋_GB2312" w:eastAsia="仿宋_GB2312" w:cs="仿宋_GB2312"/>
          <w:sz w:val="32"/>
          <w:szCs w:val="32"/>
        </w:rPr>
        <w:t>年革命老区发展（未列入革命文物红色文化遗存保护利用）省级专项资金分配表</w:t>
      </w:r>
    </w:p>
    <w:p>
      <w:pPr>
        <w:spacing w:line="560" w:lineRule="exact"/>
        <w:ind w:left="1596" w:leftChars="76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2.2024</w:t>
      </w:r>
      <w:r>
        <w:rPr>
          <w:rFonts w:hint="eastAsia" w:ascii="仿宋_GB2312" w:eastAsia="仿宋_GB2312" w:cs="仿宋_GB2312"/>
          <w:sz w:val="32"/>
          <w:szCs w:val="32"/>
        </w:rPr>
        <w:t>年革命老区发展（未列入革命文物红色文化遗存保护利用）省级专项资金绩效目标表</w:t>
      </w:r>
    </w:p>
    <w:p>
      <w:pPr>
        <w:spacing w:line="560" w:lineRule="exact"/>
        <w:ind w:left="1596" w:leftChars="760"/>
        <w:rPr>
          <w:rFonts w:ascii="仿宋_GB2312" w:eastAsia="仿宋_GB2312" w:cs="Times New Roman"/>
          <w:sz w:val="32"/>
          <w:szCs w:val="32"/>
        </w:rPr>
      </w:pPr>
    </w:p>
    <w:p>
      <w:pPr>
        <w:spacing w:line="560" w:lineRule="exact"/>
        <w:ind w:firstLine="5920" w:firstLineChars="185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永春县民政局</w:t>
      </w:r>
    </w:p>
    <w:p>
      <w:pPr>
        <w:spacing w:line="560" w:lineRule="exact"/>
        <w:ind w:firstLine="5760" w:firstLineChars="18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2024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spacing w:line="48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48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480" w:lineRule="exact"/>
        <w:rPr>
          <w:rFonts w:ascii="宋体" w:cs="宋体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</w:p>
    <w:p>
      <w:pPr>
        <w:spacing w:line="480" w:lineRule="exact"/>
        <w:jc w:val="center"/>
        <w:rPr>
          <w:rFonts w:ascii="宋体" w:cs="宋体"/>
          <w:sz w:val="44"/>
          <w:szCs w:val="44"/>
        </w:rPr>
      </w:pPr>
    </w:p>
    <w:p>
      <w:pPr>
        <w:spacing w:line="72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2024</w:t>
      </w:r>
      <w:r>
        <w:rPr>
          <w:rFonts w:hint="eastAsia" w:ascii="宋体" w:hAnsi="宋体" w:cs="宋体"/>
          <w:b/>
          <w:bCs/>
          <w:sz w:val="44"/>
          <w:szCs w:val="44"/>
        </w:rPr>
        <w:t>年革命老区发展（</w:t>
      </w:r>
      <w:r>
        <w:rPr>
          <w:rFonts w:hint="eastAsia" w:ascii="宋体" w:hAnsi="宋体" w:cs="仿宋_GB2312"/>
          <w:b/>
          <w:sz w:val="44"/>
          <w:szCs w:val="44"/>
        </w:rPr>
        <w:t>未列入革命文物红色文化遗存保护利用</w:t>
      </w:r>
      <w:r>
        <w:rPr>
          <w:rFonts w:hint="eastAsia" w:ascii="宋体" w:hAnsi="宋体" w:cs="宋体"/>
          <w:b/>
          <w:bCs/>
          <w:sz w:val="44"/>
          <w:szCs w:val="44"/>
        </w:rPr>
        <w:t>）省级专项资金分配表</w:t>
      </w:r>
    </w:p>
    <w:p>
      <w:pPr>
        <w:spacing w:line="480" w:lineRule="exact"/>
        <w:ind w:firstLine="7050" w:firstLineChars="2350"/>
        <w:rPr>
          <w:rFonts w:ascii="楷体_GB2312" w:hAnsi="宋体" w:eastAsia="楷体_GB2312" w:cs="Times New Roman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单位：万元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721"/>
        <w:gridCol w:w="1800"/>
        <w:gridCol w:w="450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67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721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乡镇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村（居）</w:t>
            </w:r>
          </w:p>
        </w:tc>
        <w:tc>
          <w:tcPr>
            <w:tcW w:w="4500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革命遗址维修维护项目</w:t>
            </w:r>
          </w:p>
        </w:tc>
        <w:tc>
          <w:tcPr>
            <w:tcW w:w="1572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67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721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一都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仙阳</w:t>
            </w:r>
          </w:p>
        </w:tc>
        <w:tc>
          <w:tcPr>
            <w:tcW w:w="4500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朱德和红四军宿营地旧址</w:t>
            </w:r>
          </w:p>
        </w:tc>
        <w:tc>
          <w:tcPr>
            <w:tcW w:w="1572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67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721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横口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上西坑</w:t>
            </w:r>
          </w:p>
        </w:tc>
        <w:tc>
          <w:tcPr>
            <w:tcW w:w="4500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承汾堂（红四军哨所）</w:t>
            </w:r>
          </w:p>
        </w:tc>
        <w:tc>
          <w:tcPr>
            <w:tcW w:w="1572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467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721" w:type="dxa"/>
            <w:vMerge w:val="restart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坑仔口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玉西</w:t>
            </w:r>
          </w:p>
        </w:tc>
        <w:tc>
          <w:tcPr>
            <w:tcW w:w="4500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翰林堂</w:t>
            </w:r>
          </w:p>
        </w:tc>
        <w:tc>
          <w:tcPr>
            <w:tcW w:w="1572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67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721" w:type="dxa"/>
            <w:vMerge w:val="continue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杏村</w:t>
            </w:r>
          </w:p>
        </w:tc>
        <w:tc>
          <w:tcPr>
            <w:tcW w:w="4500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黄龙庵</w:t>
            </w:r>
          </w:p>
        </w:tc>
        <w:tc>
          <w:tcPr>
            <w:tcW w:w="1572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67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721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蓬壶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西昌</w:t>
            </w:r>
          </w:p>
        </w:tc>
        <w:tc>
          <w:tcPr>
            <w:tcW w:w="4500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林一心故居</w:t>
            </w:r>
          </w:p>
        </w:tc>
        <w:tc>
          <w:tcPr>
            <w:tcW w:w="1572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67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721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吾峰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侯龙</w:t>
            </w:r>
          </w:p>
        </w:tc>
        <w:tc>
          <w:tcPr>
            <w:tcW w:w="4500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候龙堡红色革命遗址修缮第二期项目</w:t>
            </w:r>
          </w:p>
        </w:tc>
        <w:tc>
          <w:tcPr>
            <w:tcW w:w="1572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67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721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桃城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花石</w:t>
            </w:r>
          </w:p>
        </w:tc>
        <w:tc>
          <w:tcPr>
            <w:tcW w:w="4500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中共永春县委机关常驻地旧址八斗书院</w:t>
            </w:r>
          </w:p>
        </w:tc>
        <w:tc>
          <w:tcPr>
            <w:tcW w:w="1572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sz w:val="32"/>
                <w:szCs w:val="3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488" w:type="dxa"/>
            <w:gridSpan w:val="4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合</w:t>
            </w:r>
            <w:r>
              <w:rPr>
                <w:rFonts w:ascii="仿宋_GB2312" w:hAnsi="宋体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计</w:t>
            </w:r>
          </w:p>
        </w:tc>
        <w:tc>
          <w:tcPr>
            <w:tcW w:w="1572" w:type="dxa"/>
            <w:vAlign w:val="center"/>
          </w:tcPr>
          <w:p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sz w:val="32"/>
                <w:szCs w:val="32"/>
              </w:rPr>
              <w:t>220</w:t>
            </w:r>
          </w:p>
        </w:tc>
      </w:tr>
    </w:tbl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spacing w:line="48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</w:t>
      </w:r>
    </w:p>
    <w:p>
      <w:pPr>
        <w:spacing w:line="520" w:lineRule="exact"/>
        <w:jc w:val="center"/>
        <w:rPr>
          <w:rFonts w:ascii="宋体" w:cs="宋体"/>
          <w:sz w:val="44"/>
          <w:szCs w:val="44"/>
        </w:rPr>
      </w:pPr>
    </w:p>
    <w:p>
      <w:pPr>
        <w:spacing w:line="52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2024</w:t>
      </w:r>
      <w:r>
        <w:rPr>
          <w:rFonts w:hint="eastAsia" w:ascii="宋体" w:hAnsi="宋体" w:cs="宋体"/>
          <w:b/>
          <w:bCs/>
          <w:sz w:val="44"/>
          <w:szCs w:val="44"/>
        </w:rPr>
        <w:t>年革命老区发展（</w:t>
      </w:r>
      <w:r>
        <w:rPr>
          <w:rFonts w:hint="eastAsia" w:ascii="宋体" w:hAnsi="宋体" w:cs="仿宋_GB2312"/>
          <w:b/>
          <w:sz w:val="44"/>
          <w:szCs w:val="44"/>
        </w:rPr>
        <w:t>未列入革命文物红色文化遗存保护利用</w:t>
      </w:r>
      <w:r>
        <w:rPr>
          <w:rFonts w:hint="eastAsia" w:ascii="宋体" w:hAnsi="宋体" w:cs="宋体"/>
          <w:b/>
          <w:bCs/>
          <w:sz w:val="44"/>
          <w:szCs w:val="44"/>
        </w:rPr>
        <w:t>）省级专项资金绩效目标表</w:t>
      </w:r>
    </w:p>
    <w:p>
      <w:pPr>
        <w:spacing w:line="480" w:lineRule="exact"/>
        <w:ind w:right="600"/>
        <w:rPr>
          <w:rFonts w:ascii="楷体_GB2312" w:hAnsi="宋体" w:eastAsia="楷体_GB2312" w:cs="Times New Roman"/>
          <w:b/>
          <w:bCs/>
          <w:sz w:val="32"/>
          <w:szCs w:val="32"/>
        </w:rPr>
      </w:pPr>
    </w:p>
    <w:tbl>
      <w:tblPr>
        <w:tblStyle w:val="9"/>
        <w:tblW w:w="8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408"/>
        <w:gridCol w:w="1380"/>
        <w:gridCol w:w="2612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99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总体目标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产出指标</w:t>
            </w:r>
          </w:p>
        </w:tc>
        <w:tc>
          <w:tcPr>
            <w:tcW w:w="261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效益指标</w:t>
            </w:r>
          </w:p>
        </w:tc>
        <w:tc>
          <w:tcPr>
            <w:tcW w:w="2396" w:type="dxa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满意度指标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 w:cs="Times New Roman"/>
                <w:sz w:val="32"/>
                <w:szCs w:val="32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质量指标</w:t>
            </w:r>
          </w:p>
        </w:tc>
        <w:tc>
          <w:tcPr>
            <w:tcW w:w="1380" w:type="dxa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时效指标</w:t>
            </w:r>
          </w:p>
        </w:tc>
        <w:tc>
          <w:tcPr>
            <w:tcW w:w="261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社会效益指标</w:t>
            </w:r>
          </w:p>
        </w:tc>
        <w:tc>
          <w:tcPr>
            <w:tcW w:w="2396" w:type="dxa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服务对象满意度指标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 w:cs="Times New Roman"/>
                <w:sz w:val="32"/>
                <w:szCs w:val="32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项目验收</w:t>
            </w:r>
          </w:p>
          <w:p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合格率</w:t>
            </w: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当年完工率</w:t>
            </w:r>
          </w:p>
        </w:tc>
        <w:tc>
          <w:tcPr>
            <w:tcW w:w="2612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完成修缮维护并达到对外开放的比例</w:t>
            </w:r>
          </w:p>
        </w:tc>
        <w:tc>
          <w:tcPr>
            <w:tcW w:w="239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社会公众满意度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  <w:jc w:val="center"/>
        </w:trPr>
        <w:tc>
          <w:tcPr>
            <w:tcW w:w="999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加强我县未列入革命文物不可移动红色文化遗存的保护、开发、利用工作。</w:t>
            </w:r>
          </w:p>
        </w:tc>
        <w:tc>
          <w:tcPr>
            <w:tcW w:w="1408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  <w:tc>
          <w:tcPr>
            <w:tcW w:w="1380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  <w:tc>
          <w:tcPr>
            <w:tcW w:w="261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≥</w:t>
            </w:r>
            <w:r>
              <w:rPr>
                <w:rFonts w:ascii="宋体" w:hAnsi="宋体" w:cs="宋体"/>
                <w:sz w:val="24"/>
                <w:szCs w:val="24"/>
              </w:rPr>
              <w:t>90%</w:t>
            </w:r>
          </w:p>
        </w:tc>
        <w:tc>
          <w:tcPr>
            <w:tcW w:w="2396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≥</w:t>
            </w:r>
            <w:r>
              <w:rPr>
                <w:rFonts w:ascii="宋体" w:hAnsi="宋体" w:cs="宋体"/>
                <w:sz w:val="24"/>
                <w:szCs w:val="24"/>
              </w:rPr>
              <w:t>90%</w:t>
            </w:r>
          </w:p>
        </w:tc>
      </w:tr>
    </w:tbl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pStyle w:val="8"/>
        <w:spacing w:line="120" w:lineRule="exact"/>
        <w:ind w:firstLine="0" w:firstLineChars="0"/>
        <w:rPr>
          <w:u w:val="single"/>
        </w:rPr>
      </w:pPr>
    </w:p>
    <w:p>
      <w:pPr>
        <w:pBdr>
          <w:top w:val="single" w:color="auto" w:sz="4" w:space="1"/>
          <w:bottom w:val="single" w:color="auto" w:sz="4" w:space="1"/>
        </w:pBdr>
        <w:spacing w:line="320" w:lineRule="exact"/>
        <w:rPr>
          <w:rFonts w:ascii="仿宋_GB2312" w:cs="Times New Roman"/>
        </w:rPr>
      </w:pPr>
      <w:r>
        <w:rPr>
          <w:rFonts w:hint="eastAsia" w:ascii="仿宋_GB2312" w:eastAsia="仿宋_GB2312" w:cs="仿宋_GB2312"/>
          <w:sz w:val="32"/>
          <w:szCs w:val="32"/>
        </w:rPr>
        <w:t>抄送：市老区办、县财政局</w:t>
      </w:r>
    </w:p>
    <w:p>
      <w:pPr>
        <w:pStyle w:val="8"/>
        <w:spacing w:line="80" w:lineRule="exact"/>
        <w:ind w:firstLine="0" w:firstLineChars="0"/>
        <w:rPr>
          <w:u w:val="single"/>
        </w:rPr>
      </w:pPr>
    </w:p>
    <w:p>
      <w:pPr>
        <w:pBdr>
          <w:bottom w:val="single" w:color="auto" w:sz="4" w:space="1"/>
        </w:pBdr>
        <w:spacing w:line="320" w:lineRule="exact"/>
        <w:rPr>
          <w:rFonts w:ascii="仿宋_GB2312" w:cs="Times New Roman"/>
        </w:rPr>
      </w:pPr>
      <w:r>
        <w:rPr>
          <w:rFonts w:hint="eastAsia" w:ascii="仿宋_GB2312" w:eastAsia="仿宋_GB2312" w:cs="仿宋_GB2312"/>
          <w:sz w:val="32"/>
          <w:szCs w:val="32"/>
        </w:rPr>
        <w:t>永春县民政局</w:t>
      </w:r>
      <w:r>
        <w:rPr>
          <w:rFonts w:ascii="仿宋_GB2312" w:eastAsia="仿宋_GB2312" w:cs="仿宋_GB2312"/>
          <w:sz w:val="32"/>
          <w:szCs w:val="32"/>
        </w:rPr>
        <w:t xml:space="preserve">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日印发</w:t>
      </w:r>
    </w:p>
    <w:p>
      <w:pPr>
        <w:pStyle w:val="8"/>
        <w:spacing w:line="120" w:lineRule="exact"/>
        <w:ind w:firstLine="0" w:firstLineChars="0"/>
        <w:rPr>
          <w:rFonts w:cs="Times New Roman"/>
          <w:u w:val="single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2"/>
      </w:rPr>
    </w:pPr>
    <w:r>
      <w:rPr>
        <w:rStyle w:val="12"/>
        <w:rFonts w:cs="Calibri"/>
      </w:rPr>
      <w:fldChar w:fldCharType="begin"/>
    </w:r>
    <w:r>
      <w:rPr>
        <w:rStyle w:val="12"/>
        <w:rFonts w:cs="Calibri"/>
      </w:rPr>
      <w:instrText xml:space="preserve">PAGE  </w:instrText>
    </w:r>
    <w:r>
      <w:rPr>
        <w:rStyle w:val="12"/>
        <w:rFonts w:cs="Calibri"/>
      </w:rPr>
      <w:fldChar w:fldCharType="separate"/>
    </w:r>
    <w:r>
      <w:rPr>
        <w:rStyle w:val="12"/>
        <w:rFonts w:cs="Calibri"/>
      </w:rPr>
      <w:t>4</w:t>
    </w:r>
    <w:r>
      <w:rPr>
        <w:rStyle w:val="12"/>
        <w:rFonts w:cs="Calibri"/>
      </w:rPr>
      <w:fldChar w:fldCharType="end"/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ZWQzOGY2ZDhkOWVhNTNiYTJiNmIwYzMwZWNhNjkifQ=="/>
  </w:docVars>
  <w:rsids>
    <w:rsidRoot w:val="76570E12"/>
    <w:rsid w:val="000107A5"/>
    <w:rsid w:val="00013F2B"/>
    <w:rsid w:val="000370C5"/>
    <w:rsid w:val="00042DC8"/>
    <w:rsid w:val="00052FAD"/>
    <w:rsid w:val="00076A2C"/>
    <w:rsid w:val="000771D5"/>
    <w:rsid w:val="0008606D"/>
    <w:rsid w:val="00087763"/>
    <w:rsid w:val="000A0624"/>
    <w:rsid w:val="000B4E8A"/>
    <w:rsid w:val="000C1CAF"/>
    <w:rsid w:val="000D18EA"/>
    <w:rsid w:val="000D574D"/>
    <w:rsid w:val="001078AA"/>
    <w:rsid w:val="001127B7"/>
    <w:rsid w:val="001151A2"/>
    <w:rsid w:val="0011771A"/>
    <w:rsid w:val="00125CCC"/>
    <w:rsid w:val="00172940"/>
    <w:rsid w:val="00185763"/>
    <w:rsid w:val="00190691"/>
    <w:rsid w:val="001A248F"/>
    <w:rsid w:val="001A7526"/>
    <w:rsid w:val="001B62E6"/>
    <w:rsid w:val="001B7CC1"/>
    <w:rsid w:val="001C1755"/>
    <w:rsid w:val="001C18B8"/>
    <w:rsid w:val="001C1CAC"/>
    <w:rsid w:val="001C66D7"/>
    <w:rsid w:val="001D74D0"/>
    <w:rsid w:val="00203F6A"/>
    <w:rsid w:val="00221C9E"/>
    <w:rsid w:val="00226987"/>
    <w:rsid w:val="00244DD2"/>
    <w:rsid w:val="0025281E"/>
    <w:rsid w:val="002722E3"/>
    <w:rsid w:val="00282691"/>
    <w:rsid w:val="00290331"/>
    <w:rsid w:val="0029548B"/>
    <w:rsid w:val="0029669D"/>
    <w:rsid w:val="002D22AB"/>
    <w:rsid w:val="002E1EED"/>
    <w:rsid w:val="002E6C5A"/>
    <w:rsid w:val="002F00C6"/>
    <w:rsid w:val="00304CAF"/>
    <w:rsid w:val="00305C3B"/>
    <w:rsid w:val="00305CC5"/>
    <w:rsid w:val="00310E0B"/>
    <w:rsid w:val="00311DA9"/>
    <w:rsid w:val="003200BA"/>
    <w:rsid w:val="00321211"/>
    <w:rsid w:val="00326053"/>
    <w:rsid w:val="00366EBE"/>
    <w:rsid w:val="0037353B"/>
    <w:rsid w:val="00376D11"/>
    <w:rsid w:val="00381657"/>
    <w:rsid w:val="00393EDD"/>
    <w:rsid w:val="003C4A53"/>
    <w:rsid w:val="003C64C4"/>
    <w:rsid w:val="003C66A8"/>
    <w:rsid w:val="003F2E66"/>
    <w:rsid w:val="00423BB7"/>
    <w:rsid w:val="0045357C"/>
    <w:rsid w:val="00453653"/>
    <w:rsid w:val="004614E2"/>
    <w:rsid w:val="004640C9"/>
    <w:rsid w:val="004642A8"/>
    <w:rsid w:val="00476F5A"/>
    <w:rsid w:val="004A3EDB"/>
    <w:rsid w:val="004A5AE7"/>
    <w:rsid w:val="004C23C7"/>
    <w:rsid w:val="004E6602"/>
    <w:rsid w:val="004E6A70"/>
    <w:rsid w:val="00500555"/>
    <w:rsid w:val="00501E50"/>
    <w:rsid w:val="00534DAC"/>
    <w:rsid w:val="00575FF9"/>
    <w:rsid w:val="0058373B"/>
    <w:rsid w:val="005A1BF9"/>
    <w:rsid w:val="005D4EDF"/>
    <w:rsid w:val="005E4D7F"/>
    <w:rsid w:val="0064753F"/>
    <w:rsid w:val="00655410"/>
    <w:rsid w:val="00670AF0"/>
    <w:rsid w:val="00677665"/>
    <w:rsid w:val="006B6AEB"/>
    <w:rsid w:val="006C47C3"/>
    <w:rsid w:val="006D7101"/>
    <w:rsid w:val="006E288B"/>
    <w:rsid w:val="006E3D61"/>
    <w:rsid w:val="00702358"/>
    <w:rsid w:val="0070786C"/>
    <w:rsid w:val="007347BF"/>
    <w:rsid w:val="007420A3"/>
    <w:rsid w:val="007431CF"/>
    <w:rsid w:val="00752D82"/>
    <w:rsid w:val="007565F2"/>
    <w:rsid w:val="0077654F"/>
    <w:rsid w:val="007A27FF"/>
    <w:rsid w:val="007C03D9"/>
    <w:rsid w:val="00806AA2"/>
    <w:rsid w:val="00821AB8"/>
    <w:rsid w:val="00821EE3"/>
    <w:rsid w:val="008246B9"/>
    <w:rsid w:val="00826F97"/>
    <w:rsid w:val="008343CA"/>
    <w:rsid w:val="00855349"/>
    <w:rsid w:val="008573F2"/>
    <w:rsid w:val="0087607F"/>
    <w:rsid w:val="00882125"/>
    <w:rsid w:val="008C3FE4"/>
    <w:rsid w:val="008E7DC9"/>
    <w:rsid w:val="00900748"/>
    <w:rsid w:val="00912BAB"/>
    <w:rsid w:val="00931742"/>
    <w:rsid w:val="00944592"/>
    <w:rsid w:val="009453AE"/>
    <w:rsid w:val="0097394B"/>
    <w:rsid w:val="00986B57"/>
    <w:rsid w:val="009966A8"/>
    <w:rsid w:val="00997E8B"/>
    <w:rsid w:val="009B1409"/>
    <w:rsid w:val="009C5849"/>
    <w:rsid w:val="009C62C0"/>
    <w:rsid w:val="009D6690"/>
    <w:rsid w:val="009E7EF4"/>
    <w:rsid w:val="009F1B57"/>
    <w:rsid w:val="00A074FB"/>
    <w:rsid w:val="00A30373"/>
    <w:rsid w:val="00A448D8"/>
    <w:rsid w:val="00A47953"/>
    <w:rsid w:val="00A60D55"/>
    <w:rsid w:val="00A96E6C"/>
    <w:rsid w:val="00AC49D0"/>
    <w:rsid w:val="00AF5A93"/>
    <w:rsid w:val="00B03F69"/>
    <w:rsid w:val="00B10121"/>
    <w:rsid w:val="00B24E2A"/>
    <w:rsid w:val="00B32F83"/>
    <w:rsid w:val="00B64B76"/>
    <w:rsid w:val="00B72B98"/>
    <w:rsid w:val="00B8424D"/>
    <w:rsid w:val="00B95F60"/>
    <w:rsid w:val="00BA5BBC"/>
    <w:rsid w:val="00BB3C29"/>
    <w:rsid w:val="00BF60B1"/>
    <w:rsid w:val="00BF618C"/>
    <w:rsid w:val="00C10766"/>
    <w:rsid w:val="00C136CD"/>
    <w:rsid w:val="00C14F7A"/>
    <w:rsid w:val="00C221D2"/>
    <w:rsid w:val="00C2706C"/>
    <w:rsid w:val="00C44A41"/>
    <w:rsid w:val="00C57B69"/>
    <w:rsid w:val="00C9444A"/>
    <w:rsid w:val="00C96F94"/>
    <w:rsid w:val="00CB4A7F"/>
    <w:rsid w:val="00CD2128"/>
    <w:rsid w:val="00CD325E"/>
    <w:rsid w:val="00CE255F"/>
    <w:rsid w:val="00D22606"/>
    <w:rsid w:val="00D43429"/>
    <w:rsid w:val="00D61F94"/>
    <w:rsid w:val="00D6375A"/>
    <w:rsid w:val="00D767FE"/>
    <w:rsid w:val="00D95645"/>
    <w:rsid w:val="00DA19D1"/>
    <w:rsid w:val="00DB0ABF"/>
    <w:rsid w:val="00DB3817"/>
    <w:rsid w:val="00DD00FD"/>
    <w:rsid w:val="00DD2B52"/>
    <w:rsid w:val="00DD70E5"/>
    <w:rsid w:val="00DE4DF3"/>
    <w:rsid w:val="00DF288C"/>
    <w:rsid w:val="00E2616D"/>
    <w:rsid w:val="00E547B3"/>
    <w:rsid w:val="00E738B0"/>
    <w:rsid w:val="00E851B5"/>
    <w:rsid w:val="00E86D89"/>
    <w:rsid w:val="00E95781"/>
    <w:rsid w:val="00EA0A34"/>
    <w:rsid w:val="00EA4F2B"/>
    <w:rsid w:val="00ED3F83"/>
    <w:rsid w:val="00EF0792"/>
    <w:rsid w:val="00F1232F"/>
    <w:rsid w:val="00F12668"/>
    <w:rsid w:val="00F33048"/>
    <w:rsid w:val="00F40B9D"/>
    <w:rsid w:val="00F61FF2"/>
    <w:rsid w:val="00F7432D"/>
    <w:rsid w:val="00F767EA"/>
    <w:rsid w:val="00F76F13"/>
    <w:rsid w:val="00F85125"/>
    <w:rsid w:val="00F86550"/>
    <w:rsid w:val="00F92FD1"/>
    <w:rsid w:val="00F95413"/>
    <w:rsid w:val="00FB2C6C"/>
    <w:rsid w:val="08294C5C"/>
    <w:rsid w:val="09B7676E"/>
    <w:rsid w:val="152C03CB"/>
    <w:rsid w:val="191073BD"/>
    <w:rsid w:val="304C3CA1"/>
    <w:rsid w:val="403A443E"/>
    <w:rsid w:val="592C4565"/>
    <w:rsid w:val="5C343564"/>
    <w:rsid w:val="5E82678F"/>
    <w:rsid w:val="5F99546B"/>
    <w:rsid w:val="75081FF7"/>
    <w:rsid w:val="76570E12"/>
    <w:rsid w:val="7C9A0A56"/>
    <w:rsid w:val="7EE0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 w:locked="1"/>
    <w:lsdException w:qFormat="1" w:unhideWhenUsed="0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 w:locked="1"/>
    <w:lsdException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99"/>
    <w:pPr>
      <w:spacing w:after="120"/>
    </w:pPr>
  </w:style>
  <w:style w:type="paragraph" w:styleId="3">
    <w:name w:val="Date"/>
    <w:basedOn w:val="1"/>
    <w:next w:val="1"/>
    <w:link w:val="14"/>
    <w:autoRedefine/>
    <w:qFormat/>
    <w:locked/>
    <w:uiPriority w:val="99"/>
    <w:pPr>
      <w:ind w:left="100" w:leftChars="2500"/>
    </w:pPr>
  </w:style>
  <w:style w:type="paragraph" w:styleId="4">
    <w:name w:val="footer"/>
    <w:basedOn w:val="1"/>
    <w:link w:val="15"/>
    <w:autoRedefine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semiHidden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7"/>
    <w:qFormat/>
    <w:uiPriority w:val="99"/>
    <w:pPr>
      <w:autoSpaceDE w:val="0"/>
      <w:autoSpaceDN w:val="0"/>
      <w:adjustRightInd w:val="0"/>
      <w:spacing w:after="360" w:line="600" w:lineRule="atLeast"/>
      <w:jc w:val="center"/>
    </w:pPr>
    <w:rPr>
      <w:b/>
      <w:bCs/>
      <w:kern w:val="0"/>
      <w:sz w:val="44"/>
      <w:szCs w:val="44"/>
    </w:rPr>
  </w:style>
  <w:style w:type="paragraph" w:styleId="7">
    <w:name w:val="Normal (Web)"/>
    <w:basedOn w:val="1"/>
    <w:autoRedefine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"/>
    <w:basedOn w:val="2"/>
    <w:link w:val="18"/>
    <w:uiPriority w:val="99"/>
    <w:pPr>
      <w:autoSpaceDE w:val="0"/>
      <w:autoSpaceDN w:val="0"/>
      <w:adjustRightInd w:val="0"/>
      <w:spacing w:line="600" w:lineRule="atLeast"/>
      <w:ind w:firstLine="420" w:firstLineChars="100"/>
    </w:pPr>
    <w:rPr>
      <w:rFonts w:eastAsia="仿宋_GB2312"/>
      <w:kern w:val="0"/>
      <w:sz w:val="32"/>
      <w:szCs w:val="32"/>
    </w:rPr>
  </w:style>
  <w:style w:type="table" w:styleId="10">
    <w:name w:val="Table Grid"/>
    <w:basedOn w:val="9"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autoRedefine/>
    <w:qFormat/>
    <w:locked/>
    <w:uiPriority w:val="99"/>
    <w:rPr>
      <w:rFonts w:cs="Times New Roman"/>
    </w:rPr>
  </w:style>
  <w:style w:type="character" w:customStyle="1" w:styleId="13">
    <w:name w:val="Body Text Char"/>
    <w:basedOn w:val="11"/>
    <w:link w:val="2"/>
    <w:semiHidden/>
    <w:locked/>
    <w:uiPriority w:val="99"/>
    <w:rPr>
      <w:rFonts w:cs="Times New Roman"/>
      <w:sz w:val="21"/>
      <w:szCs w:val="21"/>
    </w:rPr>
  </w:style>
  <w:style w:type="character" w:customStyle="1" w:styleId="14">
    <w:name w:val="Date Char"/>
    <w:basedOn w:val="11"/>
    <w:link w:val="3"/>
    <w:autoRedefine/>
    <w:semiHidden/>
    <w:qFormat/>
    <w:locked/>
    <w:uiPriority w:val="99"/>
    <w:rPr>
      <w:rFonts w:cs="Times New Roman"/>
      <w:sz w:val="21"/>
      <w:szCs w:val="21"/>
    </w:rPr>
  </w:style>
  <w:style w:type="character" w:customStyle="1" w:styleId="15">
    <w:name w:val="Footer Char"/>
    <w:basedOn w:val="11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Header Char"/>
    <w:basedOn w:val="11"/>
    <w:link w:val="5"/>
    <w:autoRedefine/>
    <w:semiHidden/>
    <w:qFormat/>
    <w:locked/>
    <w:uiPriority w:val="99"/>
    <w:rPr>
      <w:rFonts w:cs="Calibri"/>
      <w:kern w:val="2"/>
      <w:sz w:val="18"/>
      <w:szCs w:val="18"/>
    </w:rPr>
  </w:style>
  <w:style w:type="character" w:customStyle="1" w:styleId="17">
    <w:name w:val="Subtitle Char"/>
    <w:basedOn w:val="11"/>
    <w:link w:val="6"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18">
    <w:name w:val="Body Text First Indent Char"/>
    <w:basedOn w:val="13"/>
    <w:link w:val="8"/>
    <w:autoRedefine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4</Pages>
  <Words>200</Words>
  <Characters>1140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2023-02-14T06:16:00Z</dcterms:created>
  <dc:creator>Administrator</dc:creator>
  <cp:lastModifiedBy>WPS_1651798665</cp:lastModifiedBy>
  <cp:lastPrinted>2024-04-12T07:42:00Z</cp:lastPrinted>
  <dcterms:modified xsi:type="dcterms:W3CDTF">2024-04-12T08:41:42Z</dcterms:modified>
  <dc:title>永民〔2020〕号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ECAF170230E4414191AC932CB9426576_13</vt:lpwstr>
  </property>
</Properties>
</file>