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AA2E8">
      <w:pPr>
        <w:kinsoku w:val="0"/>
        <w:spacing w:beforeLines="50"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p>
    <w:p w14:paraId="5D3C3EA3">
      <w:pPr>
        <w:pStyle w:val="2"/>
        <w:spacing w:beforeLines="50" w:afterLines="50" w:line="560" w:lineRule="exact"/>
        <w:jc w:val="center"/>
        <w:rPr>
          <w:rFonts w:ascii="Times New Roman" w:hAnsi="Times New Roman" w:eastAsia="方正小标宋简体" w:cs="Times New Roman"/>
          <w:color w:val="000000"/>
          <w:spacing w:val="18"/>
          <w:sz w:val="44"/>
          <w:szCs w:val="44"/>
        </w:rPr>
      </w:pPr>
      <w:bookmarkStart w:id="2" w:name="_GoBack"/>
      <w:bookmarkStart w:id="0" w:name="OLE_LINK3"/>
      <w:bookmarkStart w:id="1" w:name="OLE_LINK24"/>
      <w:r>
        <w:rPr>
          <w:rFonts w:hint="eastAsia" w:ascii="方正小标宋简体" w:eastAsia="方正小标宋简体"/>
          <w:color w:val="000000"/>
          <w:spacing w:val="18"/>
          <w:sz w:val="44"/>
          <w:szCs w:val="44"/>
        </w:rPr>
        <w:t>永春县2025年农村人居环境整治提升项目实施方案</w:t>
      </w:r>
      <w:bookmarkEnd w:id="0"/>
      <w:bookmarkEnd w:id="1"/>
    </w:p>
    <w:bookmarkEnd w:id="2"/>
    <w:p w14:paraId="1CF19C13">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根据</w:t>
      </w:r>
      <w:r>
        <w:rPr>
          <w:rFonts w:hint="eastAsia" w:ascii="仿宋_GB2312" w:eastAsia="仿宋_GB2312"/>
          <w:sz w:val="32"/>
          <w:szCs w:val="32"/>
        </w:rPr>
        <w:t>《福建省农业农村厅  福建省财政厅关于组织申报2025年农村人居环境整治提升补助资金的通知》（闽农综</w:t>
      </w:r>
      <w:r>
        <w:rPr>
          <w:rFonts w:hint="eastAsia" w:ascii="仿宋_GB2312"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仿宋_GB2312" w:hAnsi="Times New Roman" w:eastAsia="仿宋_GB2312"/>
          <w:sz w:val="32"/>
          <w:szCs w:val="32"/>
        </w:rPr>
        <w:t>〕</w:t>
      </w:r>
      <w:r>
        <w:rPr>
          <w:rFonts w:hint="eastAsia" w:ascii="仿宋_GB2312" w:hAnsi="宋体" w:eastAsia="仿宋_GB2312"/>
          <w:sz w:val="32"/>
          <w:szCs w:val="32"/>
        </w:rPr>
        <w:t>121号</w:t>
      </w:r>
      <w:r>
        <w:rPr>
          <w:rFonts w:hint="eastAsia" w:ascii="仿宋_GB2312" w:eastAsia="仿宋_GB2312"/>
          <w:sz w:val="32"/>
          <w:szCs w:val="32"/>
        </w:rPr>
        <w:t>）</w:t>
      </w:r>
      <w:r>
        <w:rPr>
          <w:rFonts w:hint="eastAsia" w:ascii="仿宋_GB2312" w:hAnsi="Times New Roman" w:eastAsia="仿宋_GB2312"/>
          <w:sz w:val="32"/>
          <w:szCs w:val="32"/>
        </w:rPr>
        <w:t>和《福建省财政厅</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福建省农业农村厅关于下达</w:t>
      </w:r>
      <w:r>
        <w:rPr>
          <w:rFonts w:hint="eastAsia" w:ascii="Times New Roman" w:hAnsi="Times New Roman" w:eastAsia="仿宋_GB2312"/>
          <w:sz w:val="32"/>
          <w:szCs w:val="32"/>
        </w:rPr>
        <w:t>2025</w:t>
      </w:r>
      <w:r>
        <w:rPr>
          <w:rFonts w:hint="eastAsia" w:ascii="仿宋_GB2312" w:hAnsi="Times New Roman" w:eastAsia="仿宋_GB2312"/>
          <w:sz w:val="32"/>
          <w:szCs w:val="32"/>
        </w:rPr>
        <w:t>年省级财政衔接推进乡村振兴补助（支持农村人居环境整治提升项目）资金的通知》（闽财农指〔</w:t>
      </w:r>
      <w:r>
        <w:rPr>
          <w:rFonts w:hint="eastAsia" w:ascii="Times New Roman" w:hAnsi="Times New Roman" w:eastAsia="仿宋_GB2312"/>
          <w:sz w:val="32"/>
          <w:szCs w:val="32"/>
        </w:rPr>
        <w:t>2025</w:t>
      </w:r>
      <w:r>
        <w:rPr>
          <w:rFonts w:hint="eastAsia" w:ascii="仿宋_GB2312" w:hAnsi="Times New Roman" w:eastAsia="仿宋_GB2312"/>
          <w:sz w:val="32"/>
          <w:szCs w:val="32"/>
        </w:rPr>
        <w:t>〕</w:t>
      </w:r>
      <w:r>
        <w:rPr>
          <w:rFonts w:hint="eastAsia" w:ascii="Times New Roman" w:hAnsi="Times New Roman" w:eastAsia="仿宋_GB2312"/>
          <w:sz w:val="32"/>
          <w:szCs w:val="32"/>
        </w:rPr>
        <w:t>8</w:t>
      </w:r>
      <w:r>
        <w:rPr>
          <w:rFonts w:hint="eastAsia" w:ascii="仿宋_GB2312" w:hAnsi="Times New Roman" w:eastAsia="仿宋_GB2312"/>
          <w:sz w:val="32"/>
          <w:szCs w:val="32"/>
        </w:rPr>
        <w:t>号）的文件精神和要求，补齐必要的人居环境整治和小型公益性基础设施建设短板，实施村容村貌改造提升，为进一步提升我县农村人居环境整治水平。现</w:t>
      </w:r>
      <w:r>
        <w:rPr>
          <w:rFonts w:ascii="仿宋_GB2312" w:hAnsi="Times New Roman" w:eastAsia="仿宋_GB2312"/>
          <w:sz w:val="32"/>
          <w:szCs w:val="32"/>
        </w:rPr>
        <w:t>结合我</w:t>
      </w:r>
      <w:r>
        <w:rPr>
          <w:rFonts w:hint="eastAsia" w:ascii="仿宋_GB2312" w:hAnsi="Times New Roman" w:eastAsia="仿宋_GB2312"/>
          <w:sz w:val="32"/>
          <w:szCs w:val="32"/>
        </w:rPr>
        <w:t>县</w:t>
      </w:r>
      <w:r>
        <w:rPr>
          <w:rFonts w:ascii="仿宋_GB2312" w:hAnsi="Times New Roman" w:eastAsia="仿宋_GB2312"/>
          <w:sz w:val="32"/>
          <w:szCs w:val="32"/>
        </w:rPr>
        <w:t>实际，制定本实施方案</w:t>
      </w:r>
      <w:r>
        <w:rPr>
          <w:rFonts w:hint="eastAsia" w:ascii="仿宋_GB2312" w:hAnsi="Times New Roman" w:eastAsia="仿宋_GB2312"/>
          <w:sz w:val="32"/>
          <w:szCs w:val="32"/>
        </w:rPr>
        <w:t>。</w:t>
      </w:r>
    </w:p>
    <w:p w14:paraId="2689B61C">
      <w:pPr>
        <w:numPr>
          <w:ilvl w:val="0"/>
          <w:numId w:val="1"/>
        </w:numPr>
        <w:autoSpaceDE w:val="0"/>
        <w:spacing w:line="560" w:lineRule="exact"/>
        <w:ind w:firstLine="640" w:firstLineChars="200"/>
        <w:rPr>
          <w:rFonts w:ascii="Times New Roman" w:hAnsi="Times New Roman" w:eastAsia="黑体"/>
          <w:sz w:val="32"/>
          <w:szCs w:val="32"/>
        </w:rPr>
      </w:pPr>
      <w:r>
        <w:rPr>
          <w:rFonts w:hint="eastAsia" w:ascii="黑体" w:hAnsi="黑体" w:eastAsia="黑体"/>
          <w:sz w:val="32"/>
          <w:szCs w:val="32"/>
        </w:rPr>
        <w:t>指导思想</w:t>
      </w:r>
    </w:p>
    <w:p w14:paraId="306922AF">
      <w:pPr>
        <w:autoSpaceDE w:val="0"/>
        <w:spacing w:line="5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坚持以习近平新时代中国特色社会主义思想为指导，为深入贯彻习近平总书记关于“三农”工作的重要论述和在福建考察时的重要讲话精神，借鉴“千万工程”经验，全面推进“千村示范引领、万村共富共美”工程，持续优化乡村人居环境，打造宜居宜业的和美乡村。</w:t>
      </w:r>
    </w:p>
    <w:p w14:paraId="5F1155DD">
      <w:pPr>
        <w:autoSpaceDE w:val="0"/>
        <w:spacing w:line="560" w:lineRule="exact"/>
        <w:ind w:firstLine="640" w:firstLineChars="200"/>
        <w:rPr>
          <w:rFonts w:ascii="黑体" w:hAnsi="宋体" w:eastAsia="黑体"/>
          <w:sz w:val="32"/>
          <w:szCs w:val="32"/>
        </w:rPr>
      </w:pPr>
      <w:r>
        <w:rPr>
          <w:rFonts w:hint="eastAsia" w:ascii="黑体" w:hAnsi="黑体" w:eastAsia="黑体"/>
          <w:sz w:val="32"/>
          <w:szCs w:val="32"/>
        </w:rPr>
        <w:t>二、目标任务</w:t>
      </w:r>
    </w:p>
    <w:p w14:paraId="3E341789">
      <w:pPr>
        <w:autoSpaceDE w:val="0"/>
        <w:spacing w:line="5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围绕巩固拓展脱贫攻坚成果同乡村振兴有效衔接，按照县域内相对集中，能够串点连线成片要求，补齐必要的人居环境整治和小型公益性基础设施建设短板，实施村容村貌改造提升等，提升农村人居环境舒适度。</w:t>
      </w:r>
    </w:p>
    <w:p w14:paraId="2299B0C4">
      <w:pPr>
        <w:autoSpaceDE w:val="0"/>
        <w:adjustRightInd w:val="0"/>
        <w:snapToGrid w:val="0"/>
        <w:spacing w:line="57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三、补助对象和使用范围</w:t>
      </w:r>
    </w:p>
    <w:p w14:paraId="50EC383F">
      <w:pPr>
        <w:autoSpaceDE w:val="0"/>
        <w:adjustRightInd w:val="0"/>
        <w:snapToGrid w:val="0"/>
        <w:spacing w:line="540" w:lineRule="exact"/>
        <w:ind w:firstLine="640" w:firstLineChars="200"/>
        <w:rPr>
          <w:rFonts w:ascii="仿宋_GB2312" w:eastAsia="仿宋_GB2312"/>
          <w:sz w:val="32"/>
          <w:szCs w:val="32"/>
        </w:rPr>
      </w:pPr>
      <w:r>
        <w:rPr>
          <w:rFonts w:hint="eastAsia" w:ascii="楷体_GB2312" w:eastAsia="楷体_GB2312"/>
          <w:bCs/>
          <w:kern w:val="0"/>
          <w:sz w:val="32"/>
          <w:szCs w:val="32"/>
        </w:rPr>
        <w:t>（一）补助对象。</w:t>
      </w:r>
      <w:r>
        <w:rPr>
          <w:rFonts w:hint="eastAsia" w:ascii="仿宋_GB2312" w:eastAsia="仿宋_GB2312"/>
          <w:sz w:val="32"/>
          <w:szCs w:val="32"/>
        </w:rPr>
        <w:t>桃城镇大坪村、外</w:t>
      </w:r>
      <w:r>
        <w:rPr>
          <w:rFonts w:hint="eastAsia" w:ascii="仿宋_GB2312" w:hAnsi="宋体" w:eastAsia="宋体" w:cs="宋体"/>
          <w:sz w:val="32"/>
          <w:szCs w:val="32"/>
        </w:rPr>
        <w:t>坵</w:t>
      </w:r>
      <w:r>
        <w:rPr>
          <w:rFonts w:hint="eastAsia" w:ascii="仿宋_GB2312" w:hAnsi="仿宋_GB2312" w:eastAsia="仿宋_GB2312" w:cs="仿宋_GB2312"/>
          <w:sz w:val="32"/>
          <w:szCs w:val="32"/>
        </w:rPr>
        <w:t>村</w:t>
      </w:r>
      <w:r>
        <w:rPr>
          <w:rFonts w:hint="eastAsia" w:ascii="仿宋_GB2312" w:eastAsia="仿宋_GB2312"/>
          <w:sz w:val="32"/>
          <w:szCs w:val="32"/>
        </w:rPr>
        <w:t>、姜莲村、东关镇东关村、美升村、东美村、吾峰镇侯龙村、呈祥乡西村村等补齐必要的人居环境整治和小型公益性基础设施建设短板，实施村容村貌改造提升等。</w:t>
      </w:r>
    </w:p>
    <w:p w14:paraId="5334E79D">
      <w:pPr>
        <w:autoSpaceDE w:val="0"/>
        <w:adjustRightInd w:val="0"/>
        <w:snapToGrid w:val="0"/>
        <w:spacing w:line="540" w:lineRule="exact"/>
        <w:ind w:firstLine="640" w:firstLineChars="200"/>
        <w:rPr>
          <w:rFonts w:ascii="仿宋_GB2312" w:eastAsia="仿宋_GB2312"/>
          <w:bCs/>
          <w:kern w:val="0"/>
          <w:sz w:val="32"/>
          <w:szCs w:val="32"/>
        </w:rPr>
      </w:pPr>
      <w:r>
        <w:rPr>
          <w:rFonts w:hint="eastAsia" w:ascii="楷体_GB2312" w:eastAsia="楷体_GB2312"/>
          <w:bCs/>
          <w:kern w:val="0"/>
          <w:sz w:val="32"/>
          <w:szCs w:val="32"/>
        </w:rPr>
        <w:t>（二）使用范围。</w:t>
      </w:r>
      <w:r>
        <w:rPr>
          <w:rFonts w:hint="eastAsia" w:ascii="仿宋_GB2312" w:eastAsia="仿宋_GB2312"/>
          <w:bCs/>
          <w:kern w:val="0"/>
          <w:sz w:val="32"/>
          <w:szCs w:val="32"/>
        </w:rPr>
        <w:t>实施项目从前期申报项目范围内挑选，主要用于支持行政村开展补短板、强弱项、重提升工作，建设道路、沟渠等小型公益项目，实施村容村貌改造等，整治提升人居环境，推进乡村“五个美丽”建设及宜居宜业和美乡村建设，每个行政村补助金额最高不超过50万元。补助资金不得用于大拆大建、“面子工程”、盲目造景、“门墙亭廊栏”“雕像、塑像、景观带”建设等。</w:t>
      </w:r>
    </w:p>
    <w:p w14:paraId="0A50826E">
      <w:pPr>
        <w:spacing w:line="560" w:lineRule="exact"/>
        <w:ind w:firstLine="640" w:firstLineChars="200"/>
        <w:rPr>
          <w:rFonts w:ascii="Times New Roman" w:hAnsi="Times New Roman" w:eastAsia="黑体"/>
          <w:bCs/>
          <w:sz w:val="32"/>
          <w:szCs w:val="32"/>
        </w:rPr>
      </w:pPr>
      <w:r>
        <w:rPr>
          <w:rFonts w:hint="eastAsia" w:ascii="黑体" w:hAnsi="黑体" w:eastAsia="黑体"/>
          <w:bCs/>
          <w:sz w:val="32"/>
          <w:szCs w:val="32"/>
        </w:rPr>
        <w:t>四</w:t>
      </w:r>
      <w:r>
        <w:rPr>
          <w:rFonts w:ascii="黑体" w:hAnsi="黑体" w:eastAsia="黑体"/>
          <w:bCs/>
          <w:sz w:val="32"/>
          <w:szCs w:val="32"/>
        </w:rPr>
        <w:t>、</w:t>
      </w:r>
      <w:r>
        <w:rPr>
          <w:rFonts w:hint="eastAsia" w:ascii="黑体" w:hAnsi="黑体" w:eastAsia="黑体"/>
          <w:bCs/>
          <w:sz w:val="32"/>
          <w:szCs w:val="32"/>
        </w:rPr>
        <w:t>保障措施</w:t>
      </w:r>
    </w:p>
    <w:p w14:paraId="2D3A91D5">
      <w:pPr>
        <w:spacing w:line="540" w:lineRule="exact"/>
        <w:ind w:firstLine="640" w:firstLineChars="200"/>
        <w:rPr>
          <w:rFonts w:ascii="仿宋_GB2312" w:hAnsi="Calibri" w:eastAsia="仿宋_GB2312"/>
          <w:sz w:val="32"/>
          <w:szCs w:val="32"/>
        </w:rPr>
      </w:pPr>
      <w:r>
        <w:rPr>
          <w:rFonts w:hint="eastAsia" w:ascii="楷体_GB2312" w:eastAsia="楷体_GB2312"/>
          <w:bCs/>
          <w:color w:val="000000"/>
          <w:sz w:val="32"/>
          <w:szCs w:val="32"/>
        </w:rPr>
        <w:t>（一）加强组织领导。</w:t>
      </w:r>
      <w:r>
        <w:rPr>
          <w:rFonts w:hint="eastAsia" w:ascii="仿宋_GB2312" w:eastAsia="仿宋_GB2312"/>
          <w:sz w:val="32"/>
          <w:szCs w:val="32"/>
        </w:rPr>
        <w:t>各有关乡镇要深入贯彻落实五级书记抓乡村振兴的工作要求，坚持党政同责、齐抓共管，建立“主要领导部署、分管领导具体推进、专人专班抓落实”的工作机制。按照“任务项目化、项目清单化、清单责任化”的工作思路，明确责任主体、完成时限，实行挂图作战、倒排工期，确保项目高质量完成（争取11月中旬前）。县委农办将建立月调度工作机制，加强全过程督导检查，对工作推进不力的进行约谈提醒，形成上下联动、合力攻坚的工作格局，确保各项建设任务按时完成。</w:t>
      </w:r>
    </w:p>
    <w:p w14:paraId="50861A76">
      <w:pPr>
        <w:spacing w:line="540" w:lineRule="exact"/>
        <w:ind w:firstLine="640" w:firstLineChars="200"/>
        <w:rPr>
          <w:rFonts w:ascii="仿宋_GB2312" w:eastAsia="仿宋_GB2312"/>
          <w:sz w:val="32"/>
          <w:szCs w:val="32"/>
        </w:rPr>
      </w:pPr>
      <w:r>
        <w:rPr>
          <w:rFonts w:hint="eastAsia" w:ascii="楷体_GB2312" w:eastAsia="楷体_GB2312"/>
          <w:bCs/>
          <w:color w:val="000000"/>
          <w:sz w:val="32"/>
          <w:szCs w:val="32"/>
        </w:rPr>
        <w:t>（二）健全内业台账。</w:t>
      </w:r>
      <w:r>
        <w:rPr>
          <w:rFonts w:hint="eastAsia" w:ascii="仿宋_GB2312" w:eastAsia="仿宋_GB2312"/>
          <w:sz w:val="32"/>
          <w:szCs w:val="32"/>
        </w:rPr>
        <w:t>各有关乡镇要做好项目建设内业资料整理，确保档案资料能够完整反映项目实施全过程。档案资料应包括实施方案、招标信息、公示资料、验收资料、资金拨付以及相关工作会议纪要等内容。</w:t>
      </w:r>
    </w:p>
    <w:p w14:paraId="561BC7AA">
      <w:pPr>
        <w:autoSpaceDE w:val="0"/>
        <w:spacing w:line="540" w:lineRule="exact"/>
        <w:ind w:firstLine="640" w:firstLineChars="200"/>
        <w:rPr>
          <w:rFonts w:ascii="仿宋_GB2312" w:eastAsia="仿宋_GB2312"/>
          <w:sz w:val="32"/>
          <w:szCs w:val="32"/>
        </w:rPr>
      </w:pPr>
      <w:r>
        <w:rPr>
          <w:rFonts w:hint="eastAsia" w:ascii="楷体_GB2312" w:eastAsia="楷体_GB2312"/>
          <w:bCs/>
          <w:color w:val="000000"/>
          <w:sz w:val="32"/>
          <w:szCs w:val="32"/>
        </w:rPr>
        <w:t>（三）项目验收考核。</w:t>
      </w:r>
      <w:r>
        <w:rPr>
          <w:rFonts w:hint="eastAsia" w:ascii="仿宋_GB2312" w:eastAsia="仿宋_GB2312"/>
          <w:sz w:val="32"/>
          <w:szCs w:val="32"/>
        </w:rPr>
        <w:t>项目验收工作实行市县负责制，县农业农村局牵头做好项目验收、项目实施相关资料的整理、保存和归档工作，市级农业农村部门负责指导监督并做好验收备案。项目实施单位应在项目建设完成后1个月内，及时向项目验收责任单位提交验收申请，验收责任单位应在1月内完成验收并给出验收结论。</w:t>
      </w:r>
    </w:p>
    <w:p w14:paraId="79314056">
      <w:pPr>
        <w:autoSpaceDE w:val="0"/>
        <w:adjustRightInd w:val="0"/>
        <w:snapToGrid w:val="0"/>
        <w:spacing w:line="540" w:lineRule="exact"/>
        <w:ind w:firstLine="640" w:firstLineChars="200"/>
        <w:rPr>
          <w:rFonts w:ascii="仿宋_GB2312" w:eastAsia="仿宋_GB2312"/>
          <w:sz w:val="32"/>
          <w:szCs w:val="32"/>
        </w:rPr>
      </w:pPr>
      <w:r>
        <w:rPr>
          <w:rFonts w:hint="eastAsia" w:ascii="楷体_GB2312" w:eastAsia="楷体_GB2312"/>
          <w:bCs/>
          <w:color w:val="000000"/>
          <w:sz w:val="32"/>
          <w:szCs w:val="32"/>
        </w:rPr>
        <w:t>（四）加强绩效管理。</w:t>
      </w:r>
      <w:r>
        <w:rPr>
          <w:rFonts w:hint="eastAsia" w:ascii="仿宋_GB2312" w:eastAsia="仿宋_GB2312"/>
          <w:sz w:val="32"/>
          <w:szCs w:val="32"/>
        </w:rPr>
        <w:t>各有关乡镇要严格对照绩效目标表，全面实施预算绩效管理的要求，建立健全全过程预算绩效管理机制，对照绩效目标做好绩效监控、绩效自评，适时开展重点绩效评价，强化绩效结果运用，做好绩效信息公开。</w:t>
      </w:r>
    </w:p>
    <w:p w14:paraId="54BB62D1">
      <w:r>
        <w:rPr>
          <w:rFonts w:hint="eastAsia" w:ascii="楷体_GB2312" w:eastAsia="楷体_GB2312"/>
          <w:bCs/>
          <w:color w:val="000000"/>
          <w:sz w:val="32"/>
          <w:szCs w:val="32"/>
        </w:rPr>
        <w:t>（五）强化资金监管。</w:t>
      </w:r>
      <w:r>
        <w:rPr>
          <w:rFonts w:hint="eastAsia" w:ascii="仿宋_GB2312" w:eastAsia="仿宋_GB2312"/>
          <w:sz w:val="32"/>
          <w:szCs w:val="32"/>
        </w:rPr>
        <w:t>建立健全督导考核机制，禁止将项目资金用于大拆大建、“面子工程”、盲目造景、“门墙亭廊栏”“雕像、塑像、景观带”建设等方面。对于骗取、套取、挤占、挪用和违规发放等行为，要依照相关法律法规进行严肃处理。要规范资金管理使用的环节和流程、及时掌握资金管理使用情况。同时，各有关乡镇要及时公示公开资金使用情况，接受社会和群众监督，提供资金使用的透明度。</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F32F7"/>
    <w:multiLevelType w:val="multilevel"/>
    <w:tmpl w:val="641F32F7"/>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C7C39"/>
    <w:rsid w:val="6B7C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2025-04-26T08:05:00Z</dcterms:created>
  <dc:creator>黄衍杰</dc:creator>
  <cp:lastModifiedBy>黄衍杰</cp:lastModifiedBy>
  <dcterms:modified xsi:type="dcterms:W3CDTF">2025-04-26T08:06:10Z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A3EEC4671BE746BFA9DB49C45A65BC4C_11</vt:lpwstr>
  </property>
  <property fmtid="{D5CDD505-2E9C-101B-9397-08002B2CF9AE}" pid="4" name="KSOTemplateDocerSaveRecord">
    <vt:lpwstr>eyJoZGlkIjoiOWY3OWNiYjJjYzdkODhjMmMxYzUyMzU3YTY1NzU4ZjAiLCJ1c2VySWQiOiI0MzIyNDY1NjkifQ==</vt:lpwstr>
  </property>
</Properties>
</file>