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中小学配餐及食堂食品安全“点题整治”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工作进展统计表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/>
          <w:szCs w:val="30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（市场监管部门）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/>
          <w:szCs w:val="30"/>
        </w:rPr>
      </w:pPr>
      <w:r>
        <w:rPr>
          <w:rFonts w:hint="eastAsia"/>
          <w:szCs w:val="30"/>
        </w:rPr>
        <w:t xml:space="preserve">      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  填报日期：  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 xml:space="preserve">  年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 xml:space="preserve"> 月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 xml:space="preserve">  日</w:t>
      </w:r>
    </w:p>
    <w:tbl>
      <w:tblPr>
        <w:tblStyle w:val="4"/>
        <w:tblW w:w="82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152"/>
        <w:gridCol w:w="1988"/>
        <w:gridCol w:w="15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bidi="ar"/>
              </w:rPr>
              <w:t>一、推进情况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中小学食堂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校外供餐单位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辖区内相关持证单位数（家）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“互联网+明厨亮灶”覆盖数（家）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校外供餐单位食品安全自查数（家）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（此处无需填写）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共检查相关单位（家次）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排查整治覆盖率（%）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发现问题线索（条）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其中：检查发现（条）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群众投诉举报（条）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部门移送（条）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移交纪检监察部门（条）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已办结（条）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立案（起）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罚没款（万元）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推动整改问题数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建立和完善制度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 w:bidi="ar"/>
              </w:rPr>
              <w:t>（条）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通报曝光批次数（含案件数）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公布成果批次数（含项目数）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工作成效</w:t>
            </w:r>
          </w:p>
        </w:tc>
        <w:tc>
          <w:tcPr>
            <w:tcW w:w="3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整治工作存在问题</w:t>
            </w:r>
          </w:p>
        </w:tc>
        <w:tc>
          <w:tcPr>
            <w:tcW w:w="3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bidi="ar"/>
              </w:rPr>
              <w:t>二、问题线索台账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时间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线索来源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内容概况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问题发生地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处置情况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推动整改情况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如本页不够填写,可另加附页。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788118da-e182-408e-89fe-2282939540dc"/>
  </w:docVars>
  <w:rsids>
    <w:rsidRoot w:val="32BA6801"/>
    <w:rsid w:val="32B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end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2024-05-22T09:32:00Z</dcterms:created>
  <dc:creator>Only</dc:creator>
  <cp:lastModifiedBy>Only</cp:lastModifiedBy>
  <dcterms:modified xsi:type="dcterms:W3CDTF">2024-05-22T09:33:16Z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2B63EED484BA4B2CAF571B4B7FCA9366_11</vt:lpwstr>
  </property>
</Properties>
</file>