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after="0" w:line="200" w:lineRule="exact"/>
        <w:jc w:val="both"/>
        <w:rPr>
          <w:rFonts w:ascii="方正小标宋简体"/>
        </w:rPr>
      </w:pPr>
    </w:p>
    <w:p>
      <w:pPr>
        <w:adjustRightInd w:val="0"/>
        <w:snapToGrid w:val="0"/>
        <w:spacing w:line="620" w:lineRule="exact"/>
        <w:rPr>
          <w:rFonts w:hint="eastAsia" w:ascii="黑体" w:hAnsi="黑体" w:eastAsia="黑体" w:cs="宋体"/>
          <w:color w:val="000000"/>
        </w:rPr>
      </w:pPr>
      <w:r>
        <w:rPr>
          <w:rFonts w:hint="eastAsia" w:ascii="黑体" w:hAnsi="黑体" w:eastAsia="黑体" w:cs="宋体"/>
          <w:color w:val="000000"/>
        </w:rPr>
        <w:t>附件</w:t>
      </w:r>
      <w:r>
        <w:rPr>
          <w:rFonts w:ascii="黑体" w:hAnsi="黑体" w:eastAsia="黑体" w:cs="宋体"/>
          <w:color w:val="000000"/>
        </w:rPr>
        <w:t>3</w:t>
      </w:r>
    </w:p>
    <w:p>
      <w:pPr>
        <w:pStyle w:val="2"/>
        <w:spacing w:before="0" w:beforeAutospacing="0" w:line="400" w:lineRule="exact"/>
        <w:ind w:left="0" w:leftChars="0" w:firstLine="640"/>
        <w:rPr>
          <w:rFonts w:hint="eastAsia" w:eastAsia="黑体"/>
        </w:rPr>
      </w:pPr>
    </w:p>
    <w:p>
      <w:pPr>
        <w:pStyle w:val="2"/>
        <w:adjustRightInd w:val="0"/>
        <w:snapToGrid w:val="0"/>
        <w:spacing w:before="0" w:beforeAutospacing="0" w:line="460" w:lineRule="exact"/>
        <w:ind w:left="0" w:leftChars="0" w:firstLine="0" w:firstLineChars="0"/>
        <w:jc w:val="center"/>
        <w:rPr>
          <w:rFonts w:hint="eastAsia" w:ascii="方正小标宋简体" w:hAnsi="华文中宋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z w:val="44"/>
          <w:szCs w:val="44"/>
        </w:rPr>
        <w:t>“安全生产月”和“八闽安全发展行”</w:t>
      </w:r>
    </w:p>
    <w:p>
      <w:pPr>
        <w:pStyle w:val="2"/>
        <w:adjustRightInd w:val="0"/>
        <w:snapToGrid w:val="0"/>
        <w:spacing w:before="0" w:beforeAutospacing="0" w:line="460" w:lineRule="exact"/>
        <w:ind w:left="0" w:leftChars="0" w:firstLine="0" w:firstLineChars="0"/>
        <w:jc w:val="center"/>
        <w:rPr>
          <w:rFonts w:hint="eastAsia" w:ascii="方正小标宋简体" w:hAnsi="华文中宋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z w:val="44"/>
          <w:szCs w:val="44"/>
        </w:rPr>
        <w:t>活动进展情况统计表</w:t>
      </w:r>
    </w:p>
    <w:p>
      <w:pPr>
        <w:pStyle w:val="2"/>
        <w:adjustRightInd w:val="0"/>
        <w:snapToGrid w:val="0"/>
        <w:spacing w:before="0" w:beforeAutospacing="0" w:line="400" w:lineRule="exact"/>
        <w:ind w:left="0" w:leftChars="0" w:firstLine="0" w:firstLineChars="0"/>
        <w:jc w:val="center"/>
        <w:rPr>
          <w:rFonts w:ascii="方正小标宋简体" w:hAnsi="华文中宋" w:eastAsia="方正小标宋简体" w:cs="宋体"/>
          <w:color w:val="000000"/>
          <w:sz w:val="44"/>
          <w:szCs w:val="44"/>
        </w:rPr>
      </w:pPr>
    </w:p>
    <w:p>
      <w:pPr>
        <w:pStyle w:val="2"/>
        <w:adjustRightInd w:val="0"/>
        <w:snapToGrid w:val="0"/>
        <w:spacing w:before="0" w:beforeAutospacing="0" w:line="500" w:lineRule="exact"/>
        <w:ind w:left="0" w:leftChars="0" w:firstLine="0" w:firstLineChars="0"/>
        <w:jc w:val="left"/>
        <w:rPr>
          <w:rFonts w:hint="eastAsia" w:ascii="仿宋" w:hAnsi="仿宋" w:eastAsia="仿宋"/>
          <w:bCs/>
          <w:color w:val="000000"/>
          <w:sz w:val="28"/>
          <w:szCs w:val="28"/>
          <w:u w:val="single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填报单位（盖章）：</w:t>
      </w:r>
      <w:r>
        <w:rPr>
          <w:rFonts w:ascii="仿宋" w:hAnsi="仿宋" w:eastAsia="仿宋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bCs/>
          <w:color w:val="000000"/>
          <w:sz w:val="28"/>
          <w:szCs w:val="28"/>
          <w:u w:val="single"/>
        </w:rPr>
        <w:t xml:space="preserve">  　　 </w:t>
      </w:r>
      <w:r>
        <w:rPr>
          <w:rFonts w:hint="eastAsia" w:ascii="仿宋" w:hAnsi="仿宋" w:eastAsia="仿宋"/>
          <w:bCs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color w:val="000000"/>
          <w:sz w:val="28"/>
          <w:szCs w:val="28"/>
          <w:u w:val="none"/>
          <w:lang w:val="en-US" w:eastAsia="zh-CN"/>
        </w:rPr>
        <w:t xml:space="preserve">                                    </w:t>
      </w:r>
      <w:r>
        <w:rPr>
          <w:rFonts w:ascii="仿宋" w:hAnsi="仿宋" w:eastAsia="仿宋"/>
          <w:bCs/>
          <w:color w:val="000000"/>
          <w:sz w:val="28"/>
          <w:szCs w:val="28"/>
        </w:rPr>
        <w:t>联系人：</w:t>
      </w:r>
      <w:r>
        <w:rPr>
          <w:rFonts w:ascii="仿宋" w:hAnsi="仿宋" w:eastAsia="仿宋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bCs/>
          <w:color w:val="000000"/>
          <w:sz w:val="28"/>
          <w:szCs w:val="28"/>
          <w:u w:val="single"/>
        </w:rPr>
        <w:t xml:space="preserve">　　 </w:t>
      </w:r>
    </w:p>
    <w:p>
      <w:pPr>
        <w:pStyle w:val="2"/>
        <w:adjustRightInd w:val="0"/>
        <w:snapToGrid w:val="0"/>
        <w:spacing w:before="0" w:beforeAutospacing="0" w:line="500" w:lineRule="exact"/>
        <w:ind w:left="0" w:leftChars="0" w:firstLine="0" w:firstLineChars="0"/>
        <w:rPr>
          <w:rFonts w:hint="eastAsia" w:ascii="仿宋" w:hAnsi="仿宋" w:eastAsia="仿宋"/>
          <w:bCs/>
          <w:color w:val="000000"/>
          <w:sz w:val="28"/>
          <w:szCs w:val="28"/>
          <w:u w:val="single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电话：</w:t>
      </w:r>
      <w:r>
        <w:rPr>
          <w:rFonts w:ascii="仿宋" w:hAnsi="仿宋" w:eastAsia="仿宋"/>
          <w:bCs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" w:hAnsi="仿宋" w:eastAsia="仿宋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ascii="仿宋" w:hAnsi="仿宋" w:eastAsia="仿宋"/>
          <w:bCs/>
          <w:color w:val="000000"/>
          <w:sz w:val="28"/>
          <w:szCs w:val="28"/>
        </w:rPr>
        <w:t>填报日期：</w:t>
      </w:r>
      <w:r>
        <w:rPr>
          <w:rFonts w:ascii="仿宋" w:hAnsi="仿宋" w:eastAsia="仿宋"/>
          <w:bCs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7"/>
        <w:tblW w:w="5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991"/>
        <w:gridCol w:w="1327"/>
        <w:gridCol w:w="5393"/>
        <w:gridCol w:w="5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pct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9" w:leftChars="-31" w:firstLine="8" w:firstLineChars="0"/>
              <w:jc w:val="center"/>
              <w:rPr>
                <w:rFonts w:hint="eastAsia" w:ascii="黑体" w:hAnsi="仿宋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活动项目</w:t>
            </w:r>
          </w:p>
        </w:tc>
        <w:tc>
          <w:tcPr>
            <w:tcW w:w="1673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9" w:leftChars="-31" w:firstLine="8" w:firstLineChars="0"/>
              <w:jc w:val="center"/>
              <w:rPr>
                <w:rFonts w:hint="eastAsia" w:ascii="黑体" w:hAnsi="仿宋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内容要求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9" w:leftChars="-31" w:firstLine="8" w:firstLineChars="0"/>
              <w:jc w:val="center"/>
              <w:rPr>
                <w:rFonts w:hint="eastAsia" w:ascii="黑体" w:hAnsi="仿宋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49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113" w:leftChars="0" w:right="113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“安全生产月”活动</w:t>
            </w:r>
          </w:p>
        </w:tc>
        <w:tc>
          <w:tcPr>
            <w:tcW w:w="1030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举办“安全生产月”活动启动仪式</w:t>
            </w:r>
          </w:p>
        </w:tc>
        <w:tc>
          <w:tcPr>
            <w:tcW w:w="1673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启动仪式形式多样，参与范围广泛，效果良好。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）等形式启动“安全生产月”活动（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6" w:leftChars="0" w:hanging="6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深入学习贯彻习近平总书记关于安全生产重要论述</w:t>
            </w:r>
          </w:p>
        </w:tc>
        <w:tc>
          <w:tcPr>
            <w:tcW w:w="1673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安排理论学习中心组专题学习；开展习近平总书记关于安全生产重要论述网络课堂培训；在报刊、广播、网络、新媒体等平台开设专栏专题。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　安排理论学习中心组专题学习（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）次，参与（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　开展网络课堂培训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　在报刊、广播、网络、新媒体等平台开设专栏专题（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rPr>
                <w:rFonts w:hint="eastAsia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开展“排查整治进行时”专题活动</w:t>
            </w:r>
          </w:p>
        </w:tc>
        <w:tc>
          <w:tcPr>
            <w:tcW w:w="1673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媒体平台开设相关专栏专题，加强示范引领和警示教育；对涌现的先进典型和经验做法、成果，制作专题视频在电视栏目播放，在各类媒体平台发布；加强典型事故案例剖析，组织人员在线观看警示教育片；开展“排查整治”活动，对重点场所、关键环节安全风险隐患进行全面深入排查整治；发动村委会、物业管理和村民，开展“查找身边隐患”活动，积极举报风险隐患，排查安全违法违规行为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　在各类媒体开设专栏专题（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）个；制作先进典型、经验做法和成果等工作专题视频（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）部；制作典型事故案例剖析警示教育片（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）部，组织观看（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）人次；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48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）个企业开展“排查整治”等活动，排查整治安全风险隐患（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）个；（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）个社区（村）、物业公司开展“查找身边隐患”（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）场次，排查安全违法违规行为（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）次，举报风险隐患（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3" w:leftChars="-31" w:hanging="6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开设“安全生产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93" w:leftChars="-31" w:hanging="6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大家谈”云课堂</w:t>
            </w:r>
          </w:p>
        </w:tc>
        <w:tc>
          <w:tcPr>
            <w:tcW w:w="1673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干部职工、企业员工参加“安全生产大家谈”云课堂学习；在电视台、政府网站和网络直播平台等各类媒体平台开展网络视频访谈、远程在线辅导和安全生产“公开课”“微课堂”“公益讲座”等线上直播活动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组织干部职工、企业员工参加“安全生产大家谈”云课堂学习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人次；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在媒体平台开展网络视频访谈（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）场，远程在线辅导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）场次，安全生产“公开课”“微课堂”“公益讲座”等线上直播活动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场，参与总人数（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449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118" w:leftChars="-37" w:right="113" w:firstLine="67" w:firstLineChars="2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“安全生产月”活动</w:t>
            </w:r>
          </w:p>
        </w:tc>
        <w:tc>
          <w:tcPr>
            <w:tcW w:w="1030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3" w:leftChars="-31" w:hanging="6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开展网上“安全宣传咨询日”活动</w:t>
            </w:r>
          </w:p>
        </w:tc>
        <w:tc>
          <w:tcPr>
            <w:tcW w:w="1673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积极组织干部职工、企业员工参与线上“公众开放日”、安全体验场馆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景示范展示、安全打榜直播答题、全国网上安全知识竞赛、抖音“我是安全明白人”话题、新浪微博“身边的安全谣言”话题等全国性活动；结合实际，利用各类媒体、网站、手机应用程序等，创新开展直播互动、网上展厅、线上安全体验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H5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安全互动游戏等活动。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组织干部职工、企业员工参与线上“公众开放日”（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）人次，观看安全体验场馆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全景示范展示（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）人次，参与安全打榜直播（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）人次，参与全国网上安全知识竞赛（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）人次，参与抖音“我是安全明白人”话题（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）条微视频，参与新浪微博“身边的安全谣言”话题（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）条；开展线上“公众开放日”（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）场次，参与（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创新开展（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）活动（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3" w:leftChars="-31" w:hanging="6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扎实推进安全宣传“五进”工作</w:t>
            </w:r>
          </w:p>
        </w:tc>
        <w:tc>
          <w:tcPr>
            <w:tcW w:w="1673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采取线上安全教育培训、专家指导服务、安全承诺等形式，开展安全宣传进企业活动；重点围绕特殊群体安全提示教育，开展安全宣传进农村活动；以组织“安全志愿者行动”为重点，开展安全宣传进社区活动；重点围绕开学、复课学生安全防控和居家学生生活安全教育，开展安全宣传进学校活动；重点围绕家庭安全隐患查找、邻里安全线上互助等，开展安全宣传进家庭活动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开展安全宣传进企业活动（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开展安全宣传进农村活动（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开展安全宣传进社区活动（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开展安全宣传进学校活动（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）人；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开展安全宣传进家庭活动（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）场，参与（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49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“八闽安全发展行”活动</w:t>
            </w:r>
          </w:p>
        </w:tc>
        <w:tc>
          <w:tcPr>
            <w:tcW w:w="2703" w:type="pct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102" w:leftChars="-32" w:firstLine="468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紧紧围绕排查整治阶段工作要求，曝光突出问题和重大隐患，宣传推广经验做法，推动企业落实安全生产主体责任，不断强化安全生产工作。</w:t>
            </w:r>
          </w:p>
        </w:tc>
        <w:tc>
          <w:tcPr>
            <w:tcW w:w="1848" w:type="pct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组织记者采访报道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次，宣传经验做法（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）条，曝光问题（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）条。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开展“区域行”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次、“专题行”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次、“网上行”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3" w:type="pct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围绕专项整治三年行动起步开局，组织记者采访报道排查治理安全隐患情况，反映整改措施，及时宣传经验做法；及时曝光重点行业领域、单位场所和关键环节安全风险隐患排查治理过程中发现的问题。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开展“区域行”“专题行”“网上行”等宣传报道活动。</w:t>
            </w:r>
          </w:p>
        </w:tc>
        <w:tc>
          <w:tcPr>
            <w:tcW w:w="184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49" w:type="pct"/>
            <w:vMerge w:val="continue"/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113" w:right="113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pct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71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畅通群众和媒体监督渠道，利用电信、网络手段，发挥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12350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举报投诉热线和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消防举报电话、微信微博等平台作用，鼓励引导广大群众举报重大隐患和违法违规行为；根据举报线索组织新闻媒体进行报道，及时开展案例警示教育。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86" w:leftChars="-27" w:firstLine="468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接收各类举报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条次，奖励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人，根据线索开展新闻报道（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449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加强组织落实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加强组织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领导</w:t>
            </w:r>
          </w:p>
        </w:tc>
        <w:tc>
          <w:tcPr>
            <w:tcW w:w="208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将“安全生产月”和“八闽安全发展行”活动纳入全年安全生产重点工作计划，与业务工作同谋划、同部署、同检查、同落实。要建立健全多部门合作、有关方面协同参与的工作机制，明确分工、细化任务、精心落实。要加强活动组织实施，制定“路线图”“施工表”，明确责任单位、责任人和时间节点，做好人力、物力和相关经费等保障，确保活动有力有序有效开展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是否已将“安全生产月”和“八闽安全发展行”活动纳入全年安全生产重点工作：□是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是否已建立健全党委政府领导、多部门合作、有关方面协同参与的工作机制：□是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是否已制定活动“路线图”“施工表”，明确责任单位、责任人和时间节点：□是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是否已做好人力、物力和相关经费等保障：□是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营造浓厚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氛围</w:t>
            </w:r>
          </w:p>
        </w:tc>
        <w:tc>
          <w:tcPr>
            <w:tcW w:w="208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努力形成上下一体、协同联动的宣传合力，打造全媒体、矩阵式、立体化的安全生产报道格局。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在交通枢纽、文博场馆、广场、公园等公共场所，广泛张贴或悬挂安全标语、横幅、挂图等，在交通工具电子显示屏、楼宇广告屏持续滚动播放安全公益广告等。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在中央新闻媒体发表安全月稿件（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）篇；在地方媒体发表安全月稿件（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）篇。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在公共场所张贴、悬挂安全标语、横幅、挂图等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   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个；制作播放安全公益广告等安全宣传品（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确保活动</w:t>
            </w:r>
          </w:p>
          <w:p>
            <w:pPr>
              <w:pStyle w:val="2"/>
              <w:adjustRightInd w:val="0"/>
              <w:snapToGrid w:val="0"/>
              <w:spacing w:before="0" w:beforeAutospacing="0"/>
              <w:ind w:left="-96" w:leftChars="-31" w:hanging="3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实效</w:t>
            </w:r>
          </w:p>
        </w:tc>
        <w:tc>
          <w:tcPr>
            <w:tcW w:w="208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与解决当前安全发展、安全生产中的热点难点问题相结合，与精准落实常态化疫情防控、复工复产安全防范、安全生产专项整治等各项工作相结合，与推动落实各方面安全生产责任相结合，突出重点行业领域和重点单位，着力解决重点难点问题，防止脱离实际、简单化部署，防止搞形式主义、走过场。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是否与解决当前安全发展、安全生产中的热点难点问题相结合：□是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是否与精准落实常态化疫情防控、复工复产安全防范、安全生产专项整治等各项工作相结合：□是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是否与推动落实各方面安全生产责任相结合，突出重点行业领域，着力解决重难点问题，防止脱离实际、简单化部署，防止搞形式主义、走过场：□是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</w:tc>
      </w:tr>
    </w:tbl>
    <w:p>
      <w:pPr>
        <w:adjustRightInd w:val="0"/>
        <w:snapToGrid w:val="0"/>
        <w:spacing w:line="620" w:lineRule="exact"/>
        <w:jc w:val="left"/>
      </w:pPr>
      <w:bookmarkStart w:id="0" w:name="_GoBack"/>
      <w:bookmarkEnd w:id="0"/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注：请于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t>7</w:t>
      </w: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月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日前将此表盖章扫描件发至邮箱：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fldChar w:fldCharType="begin"/>
      </w:r>
      <w:r>
        <w:rPr>
          <w:rFonts w:ascii="仿宋" w:hAnsi="仿宋" w:eastAsia="仿宋" w:cs="??_GB2312"/>
          <w:bCs/>
          <w:color w:val="000000"/>
          <w:sz w:val="28"/>
          <w:szCs w:val="28"/>
        </w:rPr>
        <w:instrText xml:space="preserve"> HYPERLINK "mailto:dpzawb123</w:instrText>
      </w:r>
      <w:r>
        <w:rPr>
          <w:rFonts w:ascii="仿宋" w:hAnsi="仿宋" w:eastAsia="仿宋"/>
        </w:rPr>
        <w:instrText xml:space="preserve">@</w:instrText>
      </w:r>
      <w:r>
        <w:rPr>
          <w:rFonts w:ascii="仿宋" w:hAnsi="仿宋" w:eastAsia="仿宋" w:cs="??_GB2312"/>
        </w:rPr>
        <w:instrText xml:space="preserve">163.com</w:instrTex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instrText xml:space="preserve">" </w:instrTex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fldChar w:fldCharType="separate"/>
      </w:r>
      <w:r>
        <w:rPr>
          <w:rStyle w:val="10"/>
          <w:rFonts w:ascii="仿宋" w:hAnsi="仿宋" w:eastAsia="仿宋" w:cs="??_GB2312"/>
          <w:bCs/>
          <w:sz w:val="28"/>
          <w:szCs w:val="28"/>
        </w:rPr>
        <w:t>dpzawb123</w:t>
      </w:r>
      <w:r>
        <w:rPr>
          <w:rStyle w:val="10"/>
          <w:rFonts w:ascii="仿宋" w:hAnsi="仿宋" w:eastAsia="仿宋"/>
        </w:rPr>
        <w:t>@</w:t>
      </w:r>
      <w:r>
        <w:rPr>
          <w:rStyle w:val="10"/>
          <w:rFonts w:ascii="仿宋" w:hAnsi="仿宋" w:eastAsia="仿宋" w:cs="??_GB2312"/>
        </w:rPr>
        <w:t>163.com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 w:cs="??_GB2312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A4487"/>
    <w:rsid w:val="056A4487"/>
    <w:rsid w:val="40C866FE"/>
    <w:rsid w:val="67D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uiPriority w:val="0"/>
    <w:pPr>
      <w:spacing w:before="240" w:after="60" w:line="640" w:lineRule="exact"/>
      <w:jc w:val="center"/>
      <w:outlineLvl w:val="0"/>
    </w:pPr>
    <w:rPr>
      <w:rFonts w:ascii="Cambria" w:hAnsi="Cambria" w:eastAsia="方正小标宋简体"/>
      <w:sz w:val="44"/>
      <w:szCs w:val="4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2020-07-28T08:38:00Z</dcterms:created>
  <dc:creator>Administrator</dc:creator>
  <cp:lastModifiedBy>Administrator</cp:lastModifiedBy>
  <dcterms:modified xsi:type="dcterms:W3CDTF">2020-07-28T08:46:24Z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